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02F4A" w14:textId="77777777" w:rsidR="006E28FC" w:rsidRPr="006E28FC" w:rsidRDefault="006E28FC" w:rsidP="006E28FC">
      <w:pPr>
        <w:rPr>
          <w:rFonts w:asciiTheme="majorBidi" w:hAnsiTheme="majorBidi" w:cstheme="majorBidi"/>
        </w:rPr>
      </w:pPr>
      <w:r w:rsidRPr="006E28FC">
        <w:rPr>
          <w:rFonts w:asciiTheme="majorBidi" w:hAnsiTheme="majorBidi" w:cstheme="majorBidi"/>
        </w:rPr>
        <w:t xml:space="preserve">Semestre : 2 </w:t>
      </w:r>
    </w:p>
    <w:p w14:paraId="43B31FE5" w14:textId="77777777" w:rsidR="006E28FC" w:rsidRPr="006E28FC" w:rsidRDefault="006E28FC" w:rsidP="006E28FC">
      <w:pPr>
        <w:spacing w:line="247" w:lineRule="auto"/>
        <w:jc w:val="both"/>
        <w:rPr>
          <w:rFonts w:asciiTheme="majorBidi" w:hAnsiTheme="majorBidi" w:cstheme="majorBidi"/>
        </w:rPr>
      </w:pPr>
      <w:r w:rsidRPr="006E28FC">
        <w:rPr>
          <w:rFonts w:asciiTheme="majorBidi" w:hAnsiTheme="majorBidi" w:cstheme="majorBidi"/>
          <w:b/>
        </w:rPr>
        <w:t xml:space="preserve">Unité d’enseignement : Méthodologique </w:t>
      </w:r>
    </w:p>
    <w:p w14:paraId="49DB7154" w14:textId="77777777" w:rsidR="006E28FC" w:rsidRPr="006E28FC" w:rsidRDefault="006E28FC" w:rsidP="006E28FC">
      <w:pPr>
        <w:spacing w:line="268" w:lineRule="auto"/>
        <w:jc w:val="both"/>
        <w:rPr>
          <w:rFonts w:asciiTheme="majorBidi" w:hAnsiTheme="majorBidi" w:cstheme="majorBidi"/>
        </w:rPr>
      </w:pPr>
      <w:r w:rsidRPr="006E28FC">
        <w:rPr>
          <w:rFonts w:asciiTheme="majorBidi" w:hAnsiTheme="majorBidi" w:cstheme="majorBidi"/>
          <w:b/>
        </w:rPr>
        <w:t xml:space="preserve">Matière : </w:t>
      </w:r>
      <w:r w:rsidRPr="006E28FC">
        <w:rPr>
          <w:rFonts w:asciiTheme="majorBidi" w:hAnsiTheme="majorBidi" w:cstheme="majorBidi"/>
          <w:i/>
        </w:rPr>
        <w:t xml:space="preserve">Techniques du travail universitaire 2 (TTU2) </w:t>
      </w:r>
    </w:p>
    <w:p w14:paraId="029774E4" w14:textId="77777777" w:rsidR="006E28FC" w:rsidRPr="006E28FC" w:rsidRDefault="006E28FC" w:rsidP="006E28FC">
      <w:pPr>
        <w:spacing w:line="247" w:lineRule="auto"/>
        <w:jc w:val="both"/>
        <w:rPr>
          <w:rFonts w:asciiTheme="majorBidi" w:hAnsiTheme="majorBidi" w:cstheme="majorBidi"/>
        </w:rPr>
      </w:pPr>
      <w:r w:rsidRPr="006E28FC">
        <w:rPr>
          <w:rFonts w:asciiTheme="majorBidi" w:hAnsiTheme="majorBidi" w:cstheme="majorBidi"/>
          <w:b/>
        </w:rPr>
        <w:t xml:space="preserve">Crédits : 04 </w:t>
      </w:r>
    </w:p>
    <w:p w14:paraId="076C0C59" w14:textId="77777777" w:rsidR="006E28FC" w:rsidRPr="006E28FC" w:rsidRDefault="006E28FC" w:rsidP="006E28FC">
      <w:pPr>
        <w:spacing w:line="247" w:lineRule="auto"/>
        <w:jc w:val="both"/>
        <w:rPr>
          <w:rFonts w:asciiTheme="majorBidi" w:hAnsiTheme="majorBidi" w:cstheme="majorBidi"/>
        </w:rPr>
      </w:pPr>
      <w:r w:rsidRPr="006E28FC">
        <w:rPr>
          <w:rFonts w:asciiTheme="majorBidi" w:hAnsiTheme="majorBidi" w:cstheme="majorBidi"/>
          <w:b/>
        </w:rPr>
        <w:t xml:space="preserve">Coefficient : 02 </w:t>
      </w:r>
    </w:p>
    <w:p w14:paraId="57226AAE" w14:textId="77777777" w:rsidR="006E28FC" w:rsidRPr="006E28FC" w:rsidRDefault="006E28FC" w:rsidP="006E28FC">
      <w:pPr>
        <w:pStyle w:val="Titre3"/>
        <w:rPr>
          <w:rFonts w:asciiTheme="majorBidi" w:hAnsiTheme="majorBidi" w:cstheme="majorBidi"/>
          <w:sz w:val="27"/>
          <w:szCs w:val="27"/>
        </w:rPr>
      </w:pPr>
      <w:r w:rsidRPr="006E28FC">
        <w:rPr>
          <w:rFonts w:asciiTheme="majorBidi" w:hAnsiTheme="majorBidi" w:cstheme="majorBidi"/>
          <w:sz w:val="27"/>
          <w:szCs w:val="27"/>
        </w:rPr>
        <w:t xml:space="preserve">1. Objectifs de l’enseignement </w:t>
      </w:r>
    </w:p>
    <w:p w14:paraId="5E637675" w14:textId="15C1E0B0" w:rsidR="006E28FC" w:rsidRPr="006E28FC" w:rsidRDefault="006E28FC" w:rsidP="006E28FC">
      <w:pPr>
        <w:spacing w:line="268" w:lineRule="auto"/>
        <w:jc w:val="both"/>
        <w:rPr>
          <w:rFonts w:asciiTheme="majorBidi" w:hAnsiTheme="majorBidi" w:cstheme="majorBidi"/>
        </w:rPr>
      </w:pPr>
      <w:r w:rsidRPr="006E28FC">
        <w:rPr>
          <w:rFonts w:asciiTheme="majorBidi" w:hAnsiTheme="majorBidi" w:cstheme="majorBidi"/>
        </w:rPr>
        <w:t xml:space="preserve"> Initiation aux différentes méthodes et techniques de travail universitaire en vue d’une autonomisation des étudiants. </w:t>
      </w:r>
    </w:p>
    <w:p w14:paraId="28C44E95" w14:textId="087A4A25" w:rsidR="006E28FC" w:rsidRPr="006E28FC" w:rsidRDefault="006E28FC" w:rsidP="006E28FC">
      <w:pPr>
        <w:spacing w:line="268" w:lineRule="auto"/>
        <w:jc w:val="both"/>
        <w:rPr>
          <w:rFonts w:asciiTheme="majorBidi" w:hAnsiTheme="majorBidi" w:cstheme="majorBidi"/>
        </w:rPr>
      </w:pPr>
      <w:r w:rsidRPr="006E28FC">
        <w:rPr>
          <w:rFonts w:asciiTheme="majorBidi" w:hAnsiTheme="majorBidi" w:cstheme="majorBidi"/>
        </w:rPr>
        <w:t xml:space="preserve">Doter l’étudiant d’outils méthodologiques nécessaires pour mener une recherche. </w:t>
      </w:r>
    </w:p>
    <w:p w14:paraId="0E076912" w14:textId="1F152006" w:rsidR="006E28FC" w:rsidRPr="006E28FC" w:rsidRDefault="006E28FC" w:rsidP="006E28FC">
      <w:pPr>
        <w:spacing w:line="268" w:lineRule="auto"/>
        <w:jc w:val="both"/>
        <w:rPr>
          <w:rFonts w:asciiTheme="majorBidi" w:hAnsiTheme="majorBidi" w:cstheme="majorBidi"/>
        </w:rPr>
      </w:pPr>
      <w:r w:rsidRPr="006E28FC">
        <w:rPr>
          <w:rFonts w:asciiTheme="majorBidi" w:hAnsiTheme="majorBidi" w:cstheme="majorBidi"/>
        </w:rPr>
        <w:t xml:space="preserve"> Développer l’esprit critique de l’étudiant. </w:t>
      </w:r>
    </w:p>
    <w:p w14:paraId="4D56A131" w14:textId="77777777" w:rsidR="006E28FC" w:rsidRPr="006E28FC" w:rsidRDefault="006E28FC" w:rsidP="006E28FC">
      <w:pPr>
        <w:pStyle w:val="Titre3"/>
        <w:rPr>
          <w:rFonts w:asciiTheme="majorBidi" w:hAnsiTheme="majorBidi" w:cstheme="majorBidi"/>
          <w:sz w:val="27"/>
          <w:szCs w:val="27"/>
        </w:rPr>
      </w:pPr>
      <w:r w:rsidRPr="006E28FC">
        <w:rPr>
          <w:rFonts w:asciiTheme="majorBidi" w:hAnsiTheme="majorBidi" w:cstheme="majorBidi"/>
          <w:sz w:val="27"/>
          <w:szCs w:val="27"/>
        </w:rPr>
        <w:t xml:space="preserve">2. Connaissances préalables recommandées </w:t>
      </w:r>
    </w:p>
    <w:p w14:paraId="0F72C3D9" w14:textId="567B1740" w:rsidR="006E28FC" w:rsidRPr="006E28FC" w:rsidRDefault="006E28FC" w:rsidP="006E28FC">
      <w:pPr>
        <w:spacing w:line="268" w:lineRule="auto"/>
        <w:jc w:val="both"/>
        <w:rPr>
          <w:rFonts w:asciiTheme="majorBidi" w:hAnsiTheme="majorBidi" w:cstheme="majorBidi"/>
        </w:rPr>
      </w:pPr>
      <w:r w:rsidRPr="006E28FC">
        <w:rPr>
          <w:rFonts w:asciiTheme="majorBidi" w:hAnsiTheme="majorBidi" w:cstheme="majorBidi"/>
        </w:rPr>
        <w:t xml:space="preserve"> L’étudiant doit avoir une vue d’ensemble concernant les travaux universitaires qu’il sera conduit à réaliser tout au long de son cursus. Aussi, il doit avoir conscience de la transversalité de cette matière par rapport au reste. </w:t>
      </w:r>
    </w:p>
    <w:p w14:paraId="40D016A7" w14:textId="77777777" w:rsidR="006E28FC" w:rsidRPr="006E28FC" w:rsidRDefault="006E28FC" w:rsidP="006E28FC">
      <w:pPr>
        <w:pStyle w:val="Titre3"/>
        <w:rPr>
          <w:rFonts w:asciiTheme="majorBidi" w:hAnsiTheme="majorBidi" w:cstheme="majorBidi"/>
          <w:sz w:val="27"/>
          <w:szCs w:val="27"/>
        </w:rPr>
      </w:pPr>
      <w:r w:rsidRPr="006E28FC">
        <w:rPr>
          <w:rFonts w:asciiTheme="majorBidi" w:hAnsiTheme="majorBidi" w:cstheme="majorBidi"/>
          <w:sz w:val="27"/>
          <w:szCs w:val="27"/>
        </w:rPr>
        <w:t xml:space="preserve">3. Contenu de la matière </w:t>
      </w:r>
    </w:p>
    <w:p w14:paraId="0A01CEB3" w14:textId="38A8887E" w:rsidR="006E28FC" w:rsidRPr="006E28FC" w:rsidRDefault="006E28FC" w:rsidP="006E28FC">
      <w:pPr>
        <w:spacing w:line="268" w:lineRule="auto"/>
        <w:jc w:val="both"/>
        <w:rPr>
          <w:rFonts w:asciiTheme="majorBidi" w:hAnsiTheme="majorBidi" w:cstheme="majorBidi"/>
        </w:rPr>
      </w:pPr>
      <w:r w:rsidRPr="006E28FC">
        <w:rPr>
          <w:rFonts w:asciiTheme="majorBidi" w:hAnsiTheme="majorBidi" w:cstheme="majorBidi"/>
        </w:rPr>
        <w:t xml:space="preserve">L’explication de texte (thématique et linéaire). </w:t>
      </w:r>
    </w:p>
    <w:p w14:paraId="02636E31" w14:textId="08EC34F5" w:rsidR="006E28FC" w:rsidRPr="006E28FC" w:rsidRDefault="006E28FC" w:rsidP="006E28FC">
      <w:pPr>
        <w:spacing w:line="268" w:lineRule="auto"/>
        <w:jc w:val="both"/>
        <w:rPr>
          <w:rFonts w:asciiTheme="majorBidi" w:hAnsiTheme="majorBidi" w:cstheme="majorBidi"/>
        </w:rPr>
      </w:pPr>
      <w:r w:rsidRPr="006E28FC">
        <w:rPr>
          <w:rFonts w:asciiTheme="majorBidi" w:hAnsiTheme="majorBidi" w:cstheme="majorBidi"/>
        </w:rPr>
        <w:t xml:space="preserve">La fiche de lecture (Pourquoi la préparer et comment la préparer) ¾ Le résumé (synthétisation et reformulation) ¾ Utiliser les dictionnaires. </w:t>
      </w:r>
    </w:p>
    <w:p w14:paraId="3B86F404" w14:textId="77777777" w:rsidR="006E28FC" w:rsidRPr="006E28FC" w:rsidRDefault="006E28FC" w:rsidP="006E28FC">
      <w:pPr>
        <w:pStyle w:val="Titre3"/>
        <w:rPr>
          <w:rFonts w:asciiTheme="majorBidi" w:hAnsiTheme="majorBidi" w:cstheme="majorBidi"/>
          <w:sz w:val="27"/>
          <w:szCs w:val="27"/>
        </w:rPr>
      </w:pPr>
      <w:r w:rsidRPr="006E28FC">
        <w:rPr>
          <w:rFonts w:asciiTheme="majorBidi" w:hAnsiTheme="majorBidi" w:cstheme="majorBidi"/>
          <w:sz w:val="27"/>
          <w:szCs w:val="27"/>
        </w:rPr>
        <w:t xml:space="preserve">4. Mode d’évaluation </w:t>
      </w:r>
    </w:p>
    <w:p w14:paraId="434C095C" w14:textId="68B84BA1" w:rsidR="006E28FC" w:rsidRPr="006E28FC" w:rsidRDefault="006E28FC" w:rsidP="006E28FC">
      <w:pPr>
        <w:spacing w:line="268" w:lineRule="auto"/>
        <w:jc w:val="both"/>
        <w:rPr>
          <w:rFonts w:asciiTheme="majorBidi" w:hAnsiTheme="majorBidi" w:cstheme="majorBidi"/>
        </w:rPr>
      </w:pPr>
      <w:r w:rsidRPr="006E28FC">
        <w:rPr>
          <w:rFonts w:asciiTheme="majorBidi" w:hAnsiTheme="majorBidi" w:cstheme="majorBidi"/>
        </w:rPr>
        <w:t xml:space="preserve"> Contrôle continu (50%) </w:t>
      </w:r>
    </w:p>
    <w:p w14:paraId="570FD8F9" w14:textId="013A5B46" w:rsidR="006E28FC" w:rsidRPr="006E28FC" w:rsidRDefault="006E28FC" w:rsidP="006E28FC">
      <w:pPr>
        <w:spacing w:line="268" w:lineRule="auto"/>
        <w:jc w:val="both"/>
        <w:rPr>
          <w:rFonts w:asciiTheme="majorBidi" w:hAnsiTheme="majorBidi" w:cstheme="majorBidi"/>
        </w:rPr>
      </w:pPr>
      <w:r w:rsidRPr="006E28FC">
        <w:rPr>
          <w:rFonts w:asciiTheme="majorBidi" w:hAnsiTheme="majorBidi" w:cstheme="majorBidi"/>
        </w:rPr>
        <w:t xml:space="preserve"> Examen (50%) </w:t>
      </w:r>
    </w:p>
    <w:p w14:paraId="1603BE66" w14:textId="77777777" w:rsidR="006E28FC" w:rsidRPr="006E28FC" w:rsidRDefault="006E28FC" w:rsidP="006E28FC">
      <w:pPr>
        <w:pStyle w:val="Titre3"/>
        <w:rPr>
          <w:rFonts w:asciiTheme="majorBidi" w:hAnsiTheme="majorBidi" w:cstheme="majorBidi"/>
          <w:sz w:val="27"/>
          <w:szCs w:val="27"/>
        </w:rPr>
      </w:pPr>
      <w:r w:rsidRPr="006E28FC">
        <w:rPr>
          <w:rFonts w:asciiTheme="majorBidi" w:hAnsiTheme="majorBidi" w:cstheme="majorBidi"/>
          <w:sz w:val="27"/>
          <w:szCs w:val="27"/>
        </w:rPr>
        <w:t xml:space="preserve">5. Références bibliographiques (Livres et polycopiés, sites internet, </w:t>
      </w:r>
      <w:proofErr w:type="spellStart"/>
      <w:r w:rsidRPr="006E28FC">
        <w:rPr>
          <w:rFonts w:asciiTheme="majorBidi" w:hAnsiTheme="majorBidi" w:cstheme="majorBidi"/>
          <w:sz w:val="27"/>
          <w:szCs w:val="27"/>
        </w:rPr>
        <w:t>etc</w:t>
      </w:r>
      <w:proofErr w:type="spellEnd"/>
      <w:r w:rsidRPr="006E28FC">
        <w:rPr>
          <w:rFonts w:asciiTheme="majorBidi" w:hAnsiTheme="majorBidi" w:cstheme="majorBidi"/>
          <w:sz w:val="27"/>
          <w:szCs w:val="27"/>
        </w:rPr>
        <w:t xml:space="preserve">) </w:t>
      </w:r>
    </w:p>
    <w:p w14:paraId="28ABFEC9" w14:textId="77777777" w:rsidR="006E28FC" w:rsidRPr="006E28FC" w:rsidRDefault="006E28FC" w:rsidP="006E28FC">
      <w:pPr>
        <w:numPr>
          <w:ilvl w:val="0"/>
          <w:numId w:val="1"/>
        </w:numPr>
        <w:spacing w:line="268" w:lineRule="auto"/>
        <w:jc w:val="both"/>
        <w:rPr>
          <w:rFonts w:asciiTheme="majorBidi" w:hAnsiTheme="majorBidi" w:cstheme="majorBidi"/>
        </w:rPr>
      </w:pPr>
      <w:r w:rsidRPr="006E28FC">
        <w:rPr>
          <w:rFonts w:asciiTheme="majorBidi" w:hAnsiTheme="majorBidi" w:cstheme="majorBidi"/>
        </w:rPr>
        <w:t xml:space="preserve">AISH, F., and J. TOMLINSON. (2013). </w:t>
      </w:r>
      <w:proofErr w:type="gramStart"/>
      <w:r w:rsidRPr="006E28FC">
        <w:rPr>
          <w:rFonts w:asciiTheme="majorBidi" w:hAnsiTheme="majorBidi" w:cstheme="majorBidi"/>
          <w:i/>
        </w:rPr>
        <w:t>Lectures:</w:t>
      </w:r>
      <w:proofErr w:type="gramEnd"/>
      <w:r w:rsidRPr="006E28FC">
        <w:rPr>
          <w:rFonts w:asciiTheme="majorBidi" w:hAnsiTheme="majorBidi" w:cstheme="majorBidi"/>
          <w:i/>
        </w:rPr>
        <w:t xml:space="preserve"> </w:t>
      </w:r>
      <w:proofErr w:type="spellStart"/>
      <w:r w:rsidRPr="006E28FC">
        <w:rPr>
          <w:rFonts w:asciiTheme="majorBidi" w:hAnsiTheme="majorBidi" w:cstheme="majorBidi"/>
          <w:i/>
        </w:rPr>
        <w:t>Learn</w:t>
      </w:r>
      <w:proofErr w:type="spellEnd"/>
      <w:r w:rsidRPr="006E28FC">
        <w:rPr>
          <w:rFonts w:asciiTheme="majorBidi" w:hAnsiTheme="majorBidi" w:cstheme="majorBidi"/>
          <w:i/>
        </w:rPr>
        <w:t xml:space="preserve"> </w:t>
      </w:r>
      <w:proofErr w:type="spellStart"/>
      <w:r w:rsidRPr="006E28FC">
        <w:rPr>
          <w:rFonts w:asciiTheme="majorBidi" w:hAnsiTheme="majorBidi" w:cstheme="majorBidi"/>
          <w:i/>
        </w:rPr>
        <w:t>Listening</w:t>
      </w:r>
      <w:proofErr w:type="spellEnd"/>
      <w:r w:rsidRPr="006E28FC">
        <w:rPr>
          <w:rFonts w:asciiTheme="majorBidi" w:hAnsiTheme="majorBidi" w:cstheme="majorBidi"/>
          <w:i/>
        </w:rPr>
        <w:t xml:space="preserve"> and Note-</w:t>
      </w:r>
      <w:proofErr w:type="spellStart"/>
      <w:r w:rsidRPr="006E28FC">
        <w:rPr>
          <w:rFonts w:asciiTheme="majorBidi" w:hAnsiTheme="majorBidi" w:cstheme="majorBidi"/>
          <w:i/>
        </w:rPr>
        <w:t>Taking</w:t>
      </w:r>
      <w:proofErr w:type="spellEnd"/>
      <w:r w:rsidRPr="006E28FC">
        <w:rPr>
          <w:rFonts w:asciiTheme="majorBidi" w:hAnsiTheme="majorBidi" w:cstheme="majorBidi"/>
          <w:i/>
        </w:rPr>
        <w:t xml:space="preserve"> </w:t>
      </w:r>
      <w:proofErr w:type="spellStart"/>
      <w:r w:rsidRPr="006E28FC">
        <w:rPr>
          <w:rFonts w:asciiTheme="majorBidi" w:hAnsiTheme="majorBidi" w:cstheme="majorBidi"/>
          <w:i/>
        </w:rPr>
        <w:t>Skills</w:t>
      </w:r>
      <w:proofErr w:type="spellEnd"/>
      <w:r w:rsidRPr="006E28FC">
        <w:rPr>
          <w:rFonts w:asciiTheme="majorBidi" w:hAnsiTheme="majorBidi" w:cstheme="majorBidi"/>
        </w:rPr>
        <w:t xml:space="preserve">. </w:t>
      </w:r>
      <w:proofErr w:type="gramStart"/>
      <w:r w:rsidRPr="006E28FC">
        <w:rPr>
          <w:rFonts w:asciiTheme="majorBidi" w:hAnsiTheme="majorBidi" w:cstheme="majorBidi"/>
        </w:rPr>
        <w:t>London:</w:t>
      </w:r>
      <w:proofErr w:type="gramEnd"/>
      <w:r w:rsidRPr="006E28FC">
        <w:rPr>
          <w:rFonts w:asciiTheme="majorBidi" w:hAnsiTheme="majorBidi" w:cstheme="majorBidi"/>
        </w:rPr>
        <w:t xml:space="preserve"> Harper Collins Publisher </w:t>
      </w:r>
    </w:p>
    <w:p w14:paraId="695A338B" w14:textId="77777777" w:rsidR="006E28FC" w:rsidRPr="006E28FC" w:rsidRDefault="006E28FC" w:rsidP="006E28FC">
      <w:pPr>
        <w:numPr>
          <w:ilvl w:val="0"/>
          <w:numId w:val="1"/>
        </w:numPr>
        <w:jc w:val="both"/>
        <w:rPr>
          <w:rFonts w:asciiTheme="majorBidi" w:hAnsiTheme="majorBidi" w:cstheme="majorBidi"/>
        </w:rPr>
      </w:pPr>
      <w:proofErr w:type="gramStart"/>
      <w:r w:rsidRPr="006E28FC">
        <w:rPr>
          <w:rFonts w:asciiTheme="majorBidi" w:hAnsiTheme="majorBidi" w:cstheme="majorBidi"/>
        </w:rPr>
        <w:t>COTTRELL,S.</w:t>
      </w:r>
      <w:proofErr w:type="gramEnd"/>
      <w:r w:rsidRPr="006E28FC">
        <w:rPr>
          <w:rFonts w:asciiTheme="majorBidi" w:hAnsiTheme="majorBidi" w:cstheme="majorBidi"/>
        </w:rPr>
        <w:t xml:space="preserve">(2008). </w:t>
      </w:r>
      <w:r w:rsidRPr="006E28FC">
        <w:rPr>
          <w:rFonts w:asciiTheme="majorBidi" w:hAnsiTheme="majorBidi" w:cstheme="majorBidi"/>
          <w:i/>
        </w:rPr>
        <w:t xml:space="preserve">The </w:t>
      </w:r>
      <w:proofErr w:type="spellStart"/>
      <w:r w:rsidRPr="006E28FC">
        <w:rPr>
          <w:rFonts w:asciiTheme="majorBidi" w:hAnsiTheme="majorBidi" w:cstheme="majorBidi"/>
          <w:i/>
        </w:rPr>
        <w:t>Study</w:t>
      </w:r>
      <w:proofErr w:type="spellEnd"/>
      <w:r w:rsidRPr="006E28FC">
        <w:rPr>
          <w:rFonts w:asciiTheme="majorBidi" w:hAnsiTheme="majorBidi" w:cstheme="majorBidi"/>
          <w:i/>
        </w:rPr>
        <w:t xml:space="preserve"> </w:t>
      </w:r>
      <w:proofErr w:type="spellStart"/>
      <w:r w:rsidRPr="006E28FC">
        <w:rPr>
          <w:rFonts w:asciiTheme="majorBidi" w:hAnsiTheme="majorBidi" w:cstheme="majorBidi"/>
          <w:i/>
        </w:rPr>
        <w:t>Skills</w:t>
      </w:r>
      <w:proofErr w:type="spellEnd"/>
      <w:r w:rsidRPr="006E28FC">
        <w:rPr>
          <w:rFonts w:asciiTheme="majorBidi" w:hAnsiTheme="majorBidi" w:cstheme="majorBidi"/>
          <w:i/>
        </w:rPr>
        <w:t xml:space="preserve"> </w:t>
      </w:r>
      <w:proofErr w:type="spellStart"/>
      <w:r w:rsidRPr="006E28FC">
        <w:rPr>
          <w:rFonts w:asciiTheme="majorBidi" w:hAnsiTheme="majorBidi" w:cstheme="majorBidi"/>
          <w:i/>
        </w:rPr>
        <w:t>Handbook</w:t>
      </w:r>
      <w:proofErr w:type="spellEnd"/>
      <w:r w:rsidRPr="006E28FC">
        <w:rPr>
          <w:rFonts w:asciiTheme="majorBidi" w:hAnsiTheme="majorBidi" w:cstheme="majorBidi"/>
        </w:rPr>
        <w:t xml:space="preserve">. Hampshire and New </w:t>
      </w:r>
      <w:proofErr w:type="gramStart"/>
      <w:r w:rsidRPr="006E28FC">
        <w:rPr>
          <w:rFonts w:asciiTheme="majorBidi" w:hAnsiTheme="majorBidi" w:cstheme="majorBidi"/>
        </w:rPr>
        <w:t>York:</w:t>
      </w:r>
      <w:proofErr w:type="gramEnd"/>
      <w:r w:rsidRPr="006E28FC">
        <w:rPr>
          <w:rFonts w:asciiTheme="majorBidi" w:hAnsiTheme="majorBidi" w:cstheme="majorBidi"/>
        </w:rPr>
        <w:t xml:space="preserve"> </w:t>
      </w:r>
      <w:proofErr w:type="spellStart"/>
      <w:r w:rsidRPr="006E28FC">
        <w:rPr>
          <w:rFonts w:asciiTheme="majorBidi" w:hAnsiTheme="majorBidi" w:cstheme="majorBidi"/>
        </w:rPr>
        <w:t>Palgrave</w:t>
      </w:r>
      <w:proofErr w:type="spellEnd"/>
      <w:r w:rsidRPr="006E28FC">
        <w:rPr>
          <w:rFonts w:asciiTheme="majorBidi" w:hAnsiTheme="majorBidi" w:cstheme="majorBidi"/>
        </w:rPr>
        <w:t xml:space="preserve"> Macmillan. </w:t>
      </w:r>
    </w:p>
    <w:p w14:paraId="4478431F" w14:textId="77777777" w:rsidR="006E28FC" w:rsidRPr="006E28FC" w:rsidRDefault="006E28FC" w:rsidP="006E28FC">
      <w:pPr>
        <w:numPr>
          <w:ilvl w:val="0"/>
          <w:numId w:val="1"/>
        </w:numPr>
        <w:spacing w:line="268" w:lineRule="auto"/>
        <w:jc w:val="both"/>
        <w:rPr>
          <w:rFonts w:asciiTheme="majorBidi" w:hAnsiTheme="majorBidi" w:cstheme="majorBidi"/>
        </w:rPr>
      </w:pPr>
      <w:proofErr w:type="gramStart"/>
      <w:r w:rsidRPr="006E28FC">
        <w:rPr>
          <w:rFonts w:asciiTheme="majorBidi" w:hAnsiTheme="majorBidi" w:cstheme="majorBidi"/>
        </w:rPr>
        <w:t>NORTHEDGE,A.</w:t>
      </w:r>
      <w:proofErr w:type="gramEnd"/>
      <w:r w:rsidRPr="006E28FC">
        <w:rPr>
          <w:rFonts w:asciiTheme="majorBidi" w:hAnsiTheme="majorBidi" w:cstheme="majorBidi"/>
        </w:rPr>
        <w:t xml:space="preserve">(2005). </w:t>
      </w:r>
      <w:r w:rsidRPr="006E28FC">
        <w:rPr>
          <w:rFonts w:asciiTheme="majorBidi" w:hAnsiTheme="majorBidi" w:cstheme="majorBidi"/>
          <w:i/>
        </w:rPr>
        <w:t xml:space="preserve">The Good </w:t>
      </w:r>
      <w:proofErr w:type="spellStart"/>
      <w:r w:rsidRPr="006E28FC">
        <w:rPr>
          <w:rFonts w:asciiTheme="majorBidi" w:hAnsiTheme="majorBidi" w:cstheme="majorBidi"/>
          <w:i/>
        </w:rPr>
        <w:t>Study</w:t>
      </w:r>
      <w:proofErr w:type="spellEnd"/>
      <w:r w:rsidRPr="006E28FC">
        <w:rPr>
          <w:rFonts w:asciiTheme="majorBidi" w:hAnsiTheme="majorBidi" w:cstheme="majorBidi"/>
          <w:i/>
        </w:rPr>
        <w:t xml:space="preserve"> Guide</w:t>
      </w:r>
      <w:r w:rsidRPr="006E28FC">
        <w:rPr>
          <w:rFonts w:asciiTheme="majorBidi" w:hAnsiTheme="majorBidi" w:cstheme="majorBidi"/>
        </w:rPr>
        <w:t xml:space="preserve">. Milton </w:t>
      </w:r>
      <w:proofErr w:type="gramStart"/>
      <w:r w:rsidRPr="006E28FC">
        <w:rPr>
          <w:rFonts w:asciiTheme="majorBidi" w:hAnsiTheme="majorBidi" w:cstheme="majorBidi"/>
        </w:rPr>
        <w:t>Keynes:</w:t>
      </w:r>
      <w:proofErr w:type="gramEnd"/>
      <w:r w:rsidRPr="006E28FC">
        <w:rPr>
          <w:rFonts w:asciiTheme="majorBidi" w:hAnsiTheme="majorBidi" w:cstheme="majorBidi"/>
        </w:rPr>
        <w:t xml:space="preserve"> The Open </w:t>
      </w:r>
      <w:proofErr w:type="spellStart"/>
      <w:r w:rsidRPr="006E28FC">
        <w:rPr>
          <w:rFonts w:asciiTheme="majorBidi" w:hAnsiTheme="majorBidi" w:cstheme="majorBidi"/>
        </w:rPr>
        <w:t>University</w:t>
      </w:r>
      <w:proofErr w:type="spellEnd"/>
      <w:r w:rsidRPr="006E28FC">
        <w:rPr>
          <w:rFonts w:asciiTheme="majorBidi" w:hAnsiTheme="majorBidi" w:cstheme="majorBidi"/>
        </w:rPr>
        <w:t xml:space="preserve">. </w:t>
      </w:r>
    </w:p>
    <w:p w14:paraId="7D357379" w14:textId="77777777" w:rsidR="00217891" w:rsidRDefault="00217891"/>
    <w:sectPr w:rsidR="00217891" w:rsidSect="00332098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50C37"/>
    <w:multiLevelType w:val="multilevel"/>
    <w:tmpl w:val="B13E446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color w:val="000000"/>
        <w:u w:color="00000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rFonts w:ascii="Cambria" w:hAnsi="Cambria" w:hint="default"/>
        <w:b w:val="0"/>
        <w:i w:val="0"/>
        <w:color w:val="000000"/>
        <w:u w:color="000000"/>
      </w:rPr>
    </w:lvl>
    <w:lvl w:ilvl="2">
      <w:start w:val="1"/>
      <w:numFmt w:val="lowerRoman"/>
      <w:lvlText w:val="%3"/>
      <w:lvlJc w:val="left"/>
      <w:pPr>
        <w:ind w:left="2160" w:hanging="360"/>
      </w:pPr>
      <w:rPr>
        <w:rFonts w:ascii="Cambria" w:hAnsi="Cambria" w:hint="default"/>
        <w:b w:val="0"/>
        <w:i w:val="0"/>
        <w:color w:val="000000"/>
        <w:u w:color="000000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ascii="Cambria" w:hAnsi="Cambria" w:hint="default"/>
        <w:b w:val="0"/>
        <w:i w:val="0"/>
        <w:color w:val="000000"/>
        <w:u w:color="000000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ascii="Cambria" w:hAnsi="Cambria" w:hint="default"/>
        <w:b w:val="0"/>
        <w:i w:val="0"/>
        <w:color w:val="000000"/>
        <w:u w:color="000000"/>
      </w:rPr>
    </w:lvl>
    <w:lvl w:ilvl="5">
      <w:start w:val="1"/>
      <w:numFmt w:val="lowerRoman"/>
      <w:lvlText w:val="%6"/>
      <w:lvlJc w:val="left"/>
      <w:pPr>
        <w:ind w:left="4320" w:hanging="360"/>
      </w:pPr>
      <w:rPr>
        <w:rFonts w:ascii="Cambria" w:hAnsi="Cambria" w:hint="default"/>
        <w:b w:val="0"/>
        <w:i w:val="0"/>
        <w:color w:val="000000"/>
        <w:u w:color="000000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ascii="Cambria" w:hAnsi="Cambria" w:hint="default"/>
        <w:b w:val="0"/>
        <w:i w:val="0"/>
        <w:color w:val="000000"/>
        <w:u w:color="000000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ascii="Cambria" w:hAnsi="Cambria" w:hint="default"/>
        <w:b w:val="0"/>
        <w:i w:val="0"/>
        <w:color w:val="000000"/>
        <w:u w:color="000000"/>
      </w:rPr>
    </w:lvl>
    <w:lvl w:ilvl="8">
      <w:start w:val="1"/>
      <w:numFmt w:val="lowerRoman"/>
      <w:lvlText w:val="%9"/>
      <w:lvlJc w:val="left"/>
      <w:pPr>
        <w:ind w:left="6480" w:hanging="360"/>
      </w:pPr>
      <w:rPr>
        <w:rFonts w:ascii="Cambria" w:hAnsi="Cambria" w:hint="default"/>
        <w:b w:val="0"/>
        <w:i w:val="0"/>
        <w:color w:val="000000"/>
        <w:u w:color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FC"/>
    <w:rsid w:val="00217891"/>
    <w:rsid w:val="00332098"/>
    <w:rsid w:val="006E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30DA"/>
  <w15:chartTrackingRefBased/>
  <w15:docId w15:val="{5E6370DD-F068-43F6-9AD1-16957510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8FC"/>
    <w:pPr>
      <w:spacing w:before="100" w:beforeAutospacing="1" w:after="100" w:afterAutospacing="1" w:line="256" w:lineRule="auto"/>
    </w:pPr>
    <w:rPr>
      <w:rFonts w:ascii="Calibri" w:eastAsia="Times New Roman" w:hAnsi="Calibri" w:cs="Calibri"/>
      <w:color w:val="000000"/>
      <w:sz w:val="24"/>
      <w:szCs w:val="24"/>
      <w:lang w:val="fr-DZ" w:eastAsia="fr-DZ"/>
    </w:rPr>
  </w:style>
  <w:style w:type="paragraph" w:styleId="Titre3">
    <w:name w:val="heading 3"/>
    <w:basedOn w:val="Normal"/>
    <w:next w:val="Normal"/>
    <w:link w:val="Titre3Car"/>
    <w:uiPriority w:val="99"/>
    <w:qFormat/>
    <w:rsid w:val="006E28FC"/>
    <w:pPr>
      <w:keepNext/>
      <w:keepLines/>
      <w:widowControl w:val="0"/>
      <w:spacing w:line="268" w:lineRule="auto"/>
      <w:outlineLvl w:val="2"/>
    </w:pPr>
    <w:rPr>
      <w:rFonts w:ascii="Cambria" w:hAnsi="Cambria" w:cs="Times New Roman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9"/>
    <w:rsid w:val="006E28FC"/>
    <w:rPr>
      <w:rFonts w:ascii="Cambria" w:eastAsia="Times New Roman" w:hAnsi="Cambria" w:cs="Times New Roman"/>
      <w:b/>
      <w:color w:val="000000"/>
      <w:sz w:val="24"/>
      <w:szCs w:val="24"/>
      <w:lang w:val="fr-DZ" w:eastAsia="f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SELSSABILA</dc:creator>
  <cp:keywords/>
  <dc:description/>
  <cp:lastModifiedBy>SELSSABILA</cp:lastModifiedBy>
  <cp:revision>1</cp:revision>
  <dcterms:created xsi:type="dcterms:W3CDTF">2025-03-19T22:30:00Z</dcterms:created>
  <dcterms:modified xsi:type="dcterms:W3CDTF">2025-03-19T22:31:00Z</dcterms:modified>
</cp:coreProperties>
</file>