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12B" w:rsidRPr="00200EA9" w:rsidRDefault="0024612B" w:rsidP="0024612B">
      <w:pPr>
        <w:jc w:val="center"/>
        <w:rPr>
          <w:rFonts w:asciiTheme="majorBidi" w:hAnsiTheme="majorBidi" w:cstheme="majorBidi"/>
          <w:b/>
          <w:bCs/>
          <w:sz w:val="24"/>
          <w:szCs w:val="24"/>
        </w:rPr>
      </w:pPr>
      <w:r w:rsidRPr="00200EA9">
        <w:rPr>
          <w:rFonts w:asciiTheme="majorBidi" w:hAnsiTheme="majorBidi" w:cstheme="majorBidi"/>
          <w:b/>
          <w:bCs/>
          <w:sz w:val="24"/>
          <w:szCs w:val="24"/>
        </w:rPr>
        <w:t>Chapitre 7 et 8 : Les produits de fermentation industrielle et agroalimentaire</w:t>
      </w:r>
    </w:p>
    <w:p w:rsidR="0024612B" w:rsidRPr="00200EA9" w:rsidRDefault="0024612B" w:rsidP="0024612B">
      <w:pPr>
        <w:rPr>
          <w:rFonts w:asciiTheme="majorBidi" w:hAnsiTheme="majorBidi" w:cstheme="majorBidi"/>
          <w:b/>
          <w:bCs/>
          <w:color w:val="000000"/>
          <w:sz w:val="24"/>
          <w:szCs w:val="24"/>
        </w:rPr>
      </w:pPr>
      <w:r w:rsidRPr="00200EA9">
        <w:rPr>
          <w:rFonts w:asciiTheme="majorBidi" w:hAnsiTheme="majorBidi" w:cstheme="majorBidi"/>
          <w:b/>
          <w:bCs/>
          <w:color w:val="000000"/>
          <w:sz w:val="24"/>
          <w:szCs w:val="24"/>
        </w:rPr>
        <w:t xml:space="preserve">Introduction </w:t>
      </w:r>
    </w:p>
    <w:p w:rsidR="0024612B" w:rsidRPr="00200EA9" w:rsidRDefault="0024612B" w:rsidP="0024612B">
      <w:pPr>
        <w:pStyle w:val="NormalWeb"/>
        <w:spacing w:line="276" w:lineRule="auto"/>
        <w:jc w:val="both"/>
        <w:rPr>
          <w:rFonts w:asciiTheme="majorBidi" w:hAnsiTheme="majorBidi" w:cstheme="majorBidi"/>
        </w:rPr>
      </w:pPr>
      <w:r w:rsidRPr="00200EA9">
        <w:rPr>
          <w:rFonts w:asciiTheme="majorBidi" w:hAnsiTheme="majorBidi" w:cstheme="majorBidi"/>
        </w:rPr>
        <w:t>Les microorganismes jouent un rôle clé dans les processus de fermentation industrielle, permettant la production de divers métabolites utilisés dans les secteurs pharmaceutiques, alimentaires et énergétiques. La fermentation est un processus biochimique par lequel les microorganismes convertissent des substrats organiques en produits spécifiques. On distingue les métabolites primaires, comme l'éthanol, des métabolites secondaires, comme la pénicilline. Les métabolites primaires se forment pendant la phase de croissance active (trophophase), où les cellules se divisent rapidement, et leur production est donc étroitement liée à l'augmentation de la population cellulaire. En revanche, les métabolites secondaires apparaissent généralement lorsque les cellules cessent de croître et entrent dans la phase stationnaire (idiophase). Cette différenciation dans les phases de production est cruciale pour le contrôle et l'optimisation des procédés fermentaires, afin de maximiser le rendement des produits d'intérêt</w:t>
      </w:r>
    </w:p>
    <w:p w:rsidR="0024612B" w:rsidRPr="00200EA9" w:rsidRDefault="0024612B" w:rsidP="0024612B">
      <w:pPr>
        <w:rPr>
          <w:rFonts w:asciiTheme="majorBidi" w:hAnsiTheme="majorBidi" w:cstheme="majorBidi"/>
          <w:sz w:val="24"/>
          <w:szCs w:val="24"/>
        </w:rPr>
      </w:pPr>
      <w:r w:rsidRPr="00200EA9">
        <w:rPr>
          <w:rFonts w:asciiTheme="majorBidi" w:hAnsiTheme="majorBidi" w:cstheme="majorBidi"/>
          <w:sz w:val="24"/>
          <w:szCs w:val="24"/>
        </w:rPr>
        <w:t xml:space="preserve"> </w:t>
      </w:r>
      <w:r>
        <w:rPr>
          <w:rFonts w:asciiTheme="majorBidi" w:hAnsiTheme="majorBidi" w:cstheme="majorBidi"/>
          <w:noProof/>
          <w:sz w:val="24"/>
          <w:szCs w:val="24"/>
          <w:lang w:eastAsia="fr-FR"/>
        </w:rPr>
        <w:drawing>
          <wp:inline distT="0" distB="0" distL="0" distR="0">
            <wp:extent cx="5760720" cy="3842400"/>
            <wp:effectExtent l="19050" t="0" r="0" b="0"/>
            <wp:docPr id="12" name="Image 1" descr="C:\Users\Tis Info\Desktop\QS\trophophase-idioph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s Info\Desktop\QS\trophophase-idiophase.jpg"/>
                    <pic:cNvPicPr>
                      <a:picLocks noChangeAspect="1" noChangeArrowheads="1"/>
                    </pic:cNvPicPr>
                  </pic:nvPicPr>
                  <pic:blipFill>
                    <a:blip r:embed="rId7"/>
                    <a:srcRect/>
                    <a:stretch>
                      <a:fillRect/>
                    </a:stretch>
                  </pic:blipFill>
                  <pic:spPr bwMode="auto">
                    <a:xfrm>
                      <a:off x="0" y="0"/>
                      <a:ext cx="5760720" cy="3842400"/>
                    </a:xfrm>
                    <a:prstGeom prst="rect">
                      <a:avLst/>
                    </a:prstGeom>
                    <a:noFill/>
                    <a:ln w="9525">
                      <a:noFill/>
                      <a:miter lim="800000"/>
                      <a:headEnd/>
                      <a:tailEnd/>
                    </a:ln>
                  </pic:spPr>
                </pic:pic>
              </a:graphicData>
            </a:graphic>
          </wp:inline>
        </w:drawing>
      </w:r>
    </w:p>
    <w:p w:rsidR="0024612B" w:rsidRDefault="0024612B" w:rsidP="0024612B">
      <w:pPr>
        <w:rPr>
          <w:rFonts w:asciiTheme="majorBidi" w:hAnsiTheme="majorBidi" w:cstheme="majorBidi"/>
          <w:sz w:val="24"/>
          <w:szCs w:val="24"/>
        </w:rPr>
      </w:pPr>
    </w:p>
    <w:p w:rsidR="0024612B" w:rsidRDefault="0024612B" w:rsidP="0024612B">
      <w:pPr>
        <w:rPr>
          <w:rFonts w:asciiTheme="majorBidi" w:hAnsiTheme="majorBidi" w:cstheme="majorBidi"/>
          <w:sz w:val="24"/>
          <w:szCs w:val="24"/>
        </w:rPr>
      </w:pPr>
    </w:p>
    <w:p w:rsidR="0024612B" w:rsidRDefault="0024612B" w:rsidP="0024612B">
      <w:pPr>
        <w:rPr>
          <w:rFonts w:asciiTheme="majorBidi" w:hAnsiTheme="majorBidi" w:cstheme="majorBidi"/>
          <w:sz w:val="24"/>
          <w:szCs w:val="24"/>
        </w:rPr>
      </w:pPr>
    </w:p>
    <w:p w:rsidR="0024612B" w:rsidRPr="00200EA9" w:rsidRDefault="0024612B" w:rsidP="0024612B">
      <w:pPr>
        <w:rPr>
          <w:rFonts w:asciiTheme="majorBidi" w:hAnsiTheme="majorBidi" w:cstheme="majorBidi"/>
          <w:sz w:val="24"/>
          <w:szCs w:val="24"/>
        </w:rPr>
      </w:pPr>
    </w:p>
    <w:p w:rsidR="0024612B" w:rsidRPr="00200EA9" w:rsidRDefault="0024612B" w:rsidP="0024612B">
      <w:pPr>
        <w:spacing w:before="100" w:beforeAutospacing="1" w:after="100" w:afterAutospacing="1"/>
        <w:outlineLvl w:val="2"/>
        <w:rPr>
          <w:rFonts w:asciiTheme="majorBidi" w:eastAsia="Times New Roman" w:hAnsiTheme="majorBidi" w:cstheme="majorBidi"/>
          <w:b/>
          <w:bCs/>
          <w:sz w:val="24"/>
          <w:szCs w:val="24"/>
          <w:lang w:eastAsia="fr-FR"/>
        </w:rPr>
      </w:pPr>
      <w:r w:rsidRPr="00200EA9">
        <w:rPr>
          <w:rFonts w:asciiTheme="majorBidi" w:eastAsia="Times New Roman" w:hAnsiTheme="majorBidi" w:cstheme="majorBidi"/>
          <w:b/>
          <w:bCs/>
          <w:sz w:val="24"/>
          <w:szCs w:val="24"/>
          <w:lang w:eastAsia="fr-FR"/>
        </w:rPr>
        <w:t>I. Les métabolites primaires</w:t>
      </w:r>
    </w:p>
    <w:p w:rsidR="0024612B" w:rsidRPr="00200EA9" w:rsidRDefault="0024612B" w:rsidP="0024612B">
      <w:pPr>
        <w:spacing w:before="100" w:beforeAutospacing="1" w:after="100" w:afterAutospacing="1"/>
        <w:outlineLvl w:val="3"/>
        <w:rPr>
          <w:rFonts w:asciiTheme="majorBidi" w:eastAsia="Times New Roman" w:hAnsiTheme="majorBidi" w:cstheme="majorBidi"/>
          <w:b/>
          <w:bCs/>
          <w:sz w:val="24"/>
          <w:szCs w:val="24"/>
          <w:lang w:eastAsia="fr-FR"/>
        </w:rPr>
      </w:pPr>
      <w:r w:rsidRPr="00200EA9">
        <w:rPr>
          <w:rFonts w:asciiTheme="majorBidi" w:eastAsia="Times New Roman" w:hAnsiTheme="majorBidi" w:cstheme="majorBidi"/>
          <w:b/>
          <w:bCs/>
          <w:sz w:val="24"/>
          <w:szCs w:val="24"/>
          <w:lang w:eastAsia="fr-FR"/>
        </w:rPr>
        <w:t>I.1. Production des acides aminés</w:t>
      </w:r>
    </w:p>
    <w:p w:rsidR="0024612B" w:rsidRPr="00200EA9" w:rsidRDefault="0024612B" w:rsidP="0024612B">
      <w:p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sz w:val="24"/>
          <w:szCs w:val="24"/>
          <w:lang w:eastAsia="fr-FR"/>
        </w:rPr>
        <w:t>Aujourd’hui, les acides aminés représentent un produit industriel majeur obtenu à partir de microorganismes, avec des applications variées dans l’alimentation et l’industrie agroalimentaire. Parmi eux, on distingue notamment :</w:t>
      </w:r>
    </w:p>
    <w:p w:rsidR="0024612B" w:rsidRPr="00200EA9" w:rsidRDefault="0024612B" w:rsidP="0024612B">
      <w:pPr>
        <w:numPr>
          <w:ilvl w:val="0"/>
          <w:numId w:val="1"/>
        </w:num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b/>
          <w:bCs/>
          <w:sz w:val="24"/>
          <w:szCs w:val="24"/>
          <w:lang w:eastAsia="fr-FR"/>
        </w:rPr>
        <w:t>L’acide glutamique</w:t>
      </w:r>
      <w:r w:rsidRPr="00200EA9">
        <w:rPr>
          <w:rFonts w:asciiTheme="majorBidi" w:eastAsia="Times New Roman" w:hAnsiTheme="majorBidi" w:cstheme="majorBidi"/>
          <w:sz w:val="24"/>
          <w:szCs w:val="24"/>
          <w:lang w:eastAsia="fr-FR"/>
        </w:rPr>
        <w:t>, utilisé pour produire le glutamate monosodique, un additif populaire en tant que renforçateur de goût.</w:t>
      </w:r>
    </w:p>
    <w:p w:rsidR="0024612B" w:rsidRPr="00200EA9" w:rsidRDefault="0024612B" w:rsidP="0024612B">
      <w:pPr>
        <w:numPr>
          <w:ilvl w:val="0"/>
          <w:numId w:val="1"/>
        </w:num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b/>
          <w:bCs/>
          <w:sz w:val="24"/>
          <w:szCs w:val="24"/>
          <w:lang w:eastAsia="fr-FR"/>
        </w:rPr>
        <w:t>La lysine</w:t>
      </w:r>
      <w:r w:rsidRPr="00200EA9">
        <w:rPr>
          <w:rFonts w:asciiTheme="majorBidi" w:eastAsia="Times New Roman" w:hAnsiTheme="majorBidi" w:cstheme="majorBidi"/>
          <w:sz w:val="24"/>
          <w:szCs w:val="24"/>
          <w:lang w:eastAsia="fr-FR"/>
        </w:rPr>
        <w:t>, ajoutée comme complément alimentaire dans les céréales pour en enrichir la teneur en protéines.</w:t>
      </w:r>
    </w:p>
    <w:p w:rsidR="0024612B" w:rsidRPr="00200EA9" w:rsidRDefault="0024612B" w:rsidP="0024612B">
      <w:p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sz w:val="24"/>
          <w:szCs w:val="24"/>
          <w:lang w:eastAsia="fr-FR"/>
        </w:rPr>
        <w:t xml:space="preserve">Dans la nature, les microorganismes ne produisent généralement que la quantité d’acides aminés nécessaire à leur croissance. Cependant, au niveau industriel, des mutations ciblées et la sélection de souches hyperproductrices permettent d’obtenir des microorganismes capables de produire de grandes quantités des acides aminés souhaités. Parmi les souches exploitées pour ces productions figurent </w:t>
      </w:r>
      <w:r w:rsidRPr="00200EA9">
        <w:rPr>
          <w:rFonts w:asciiTheme="majorBidi" w:eastAsia="Times New Roman" w:hAnsiTheme="majorBidi" w:cstheme="majorBidi"/>
          <w:i/>
          <w:iCs/>
          <w:sz w:val="24"/>
          <w:szCs w:val="24"/>
          <w:lang w:eastAsia="fr-FR"/>
        </w:rPr>
        <w:t>Corynebacterium glutamicum</w:t>
      </w:r>
      <w:r w:rsidRPr="00200EA9">
        <w:rPr>
          <w:rFonts w:asciiTheme="majorBidi" w:eastAsia="Times New Roman" w:hAnsiTheme="majorBidi" w:cstheme="majorBidi"/>
          <w:sz w:val="24"/>
          <w:szCs w:val="24"/>
          <w:lang w:eastAsia="fr-FR"/>
        </w:rPr>
        <w:t xml:space="preserve">, </w:t>
      </w:r>
      <w:r w:rsidRPr="00200EA9">
        <w:rPr>
          <w:rFonts w:asciiTheme="majorBidi" w:eastAsia="Times New Roman" w:hAnsiTheme="majorBidi" w:cstheme="majorBidi"/>
          <w:i/>
          <w:iCs/>
          <w:sz w:val="24"/>
          <w:szCs w:val="24"/>
          <w:lang w:eastAsia="fr-FR"/>
        </w:rPr>
        <w:t>Brevibacterium flavum</w:t>
      </w:r>
      <w:r w:rsidRPr="00200EA9">
        <w:rPr>
          <w:rFonts w:asciiTheme="majorBidi" w:eastAsia="Times New Roman" w:hAnsiTheme="majorBidi" w:cstheme="majorBidi"/>
          <w:sz w:val="24"/>
          <w:szCs w:val="24"/>
          <w:lang w:eastAsia="fr-FR"/>
        </w:rPr>
        <w:t xml:space="preserve">, et </w:t>
      </w:r>
      <w:r w:rsidRPr="00200EA9">
        <w:rPr>
          <w:rFonts w:asciiTheme="majorBidi" w:eastAsia="Times New Roman" w:hAnsiTheme="majorBidi" w:cstheme="majorBidi"/>
          <w:i/>
          <w:iCs/>
          <w:sz w:val="24"/>
          <w:szCs w:val="24"/>
          <w:lang w:eastAsia="fr-FR"/>
        </w:rPr>
        <w:t>Escherichia coli</w:t>
      </w:r>
      <w:r w:rsidRPr="00200EA9">
        <w:rPr>
          <w:rFonts w:asciiTheme="majorBidi" w:eastAsia="Times New Roman" w:hAnsiTheme="majorBidi" w:cstheme="majorBidi"/>
          <w:sz w:val="24"/>
          <w:szCs w:val="24"/>
          <w:lang w:eastAsia="fr-FR"/>
        </w:rPr>
        <w:t>.</w:t>
      </w:r>
    </w:p>
    <w:p w:rsidR="0024612B" w:rsidRPr="00200EA9" w:rsidRDefault="0024612B" w:rsidP="0024612B">
      <w:p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sz w:val="24"/>
          <w:szCs w:val="24"/>
          <w:lang w:eastAsia="fr-FR"/>
        </w:rPr>
        <w:t>La production microbienne présente un avantage particulier lorsqu’un seul isomère, tel que l’isomère L d’un acide aminé, est requis. Contrairement à la synthèse chimique, qui génère souvent un mélange d’isomères D et L, la voie biologique produit spécifiquement l’isomère L, correspondant aux besoins de nombreuses applications alimentaires et pharmaceutiques.</w:t>
      </w:r>
    </w:p>
    <w:p w:rsidR="0024612B" w:rsidRPr="00200EA9" w:rsidRDefault="0024612B" w:rsidP="0024612B">
      <w:pPr>
        <w:autoSpaceDE w:val="0"/>
        <w:autoSpaceDN w:val="0"/>
        <w:adjustRightInd w:val="0"/>
        <w:spacing w:after="0"/>
        <w:rPr>
          <w:rFonts w:asciiTheme="majorBidi" w:hAnsiTheme="majorBidi" w:cstheme="majorBidi"/>
          <w:sz w:val="24"/>
          <w:szCs w:val="24"/>
        </w:rPr>
      </w:pPr>
    </w:p>
    <w:p w:rsidR="0024612B" w:rsidRPr="00200EA9" w:rsidRDefault="0024612B" w:rsidP="0024612B">
      <w:pPr>
        <w:spacing w:before="100" w:beforeAutospacing="1" w:after="100" w:afterAutospacing="1"/>
        <w:outlineLvl w:val="2"/>
        <w:rPr>
          <w:rFonts w:asciiTheme="majorBidi" w:eastAsia="Times New Roman" w:hAnsiTheme="majorBidi" w:cstheme="majorBidi"/>
          <w:b/>
          <w:bCs/>
          <w:sz w:val="24"/>
          <w:szCs w:val="24"/>
          <w:lang w:eastAsia="fr-FR"/>
        </w:rPr>
      </w:pPr>
      <w:r w:rsidRPr="00200EA9">
        <w:rPr>
          <w:rFonts w:asciiTheme="majorBidi" w:eastAsia="Times New Roman" w:hAnsiTheme="majorBidi" w:cstheme="majorBidi"/>
          <w:b/>
          <w:bCs/>
          <w:sz w:val="24"/>
          <w:szCs w:val="24"/>
          <w:lang w:eastAsia="fr-FR"/>
        </w:rPr>
        <w:t>I.2. Production des acides organiques</w:t>
      </w:r>
    </w:p>
    <w:p w:rsidR="0024612B" w:rsidRPr="00200EA9" w:rsidRDefault="0024612B" w:rsidP="0024612B">
      <w:p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sz w:val="24"/>
          <w:szCs w:val="24"/>
          <w:lang w:eastAsia="fr-FR"/>
        </w:rPr>
        <w:t>Les acides organiques sont des composés capables de libérer un ion hydrogène (H+) en milieu aqueux, ce qui leur confère une acidité modérée. Parmi les acides organiques les plus courants, on retrouve l’acide lactique, acétique, propionique, butyrique et citrique, largement utilisés comme additifs alimentaires. Ces acides jouent divers rôles dans l'industrie agroalimentaire, agissant comme agents d'acidification, de conservation, d'équilibrage du pH et d'antioxydants.</w:t>
      </w:r>
    </w:p>
    <w:p w:rsidR="0024612B" w:rsidRPr="00200EA9" w:rsidRDefault="0024612B" w:rsidP="0024612B">
      <w:pPr>
        <w:spacing w:before="100" w:beforeAutospacing="1" w:after="100" w:afterAutospacing="1"/>
        <w:outlineLvl w:val="3"/>
        <w:rPr>
          <w:rFonts w:asciiTheme="majorBidi" w:eastAsia="Times New Roman" w:hAnsiTheme="majorBidi" w:cstheme="majorBidi"/>
          <w:b/>
          <w:bCs/>
          <w:sz w:val="24"/>
          <w:szCs w:val="24"/>
          <w:lang w:eastAsia="fr-FR"/>
        </w:rPr>
      </w:pPr>
      <w:r w:rsidRPr="00200EA9">
        <w:rPr>
          <w:rFonts w:asciiTheme="majorBidi" w:eastAsia="Times New Roman" w:hAnsiTheme="majorBidi" w:cstheme="majorBidi"/>
          <w:b/>
          <w:bCs/>
          <w:sz w:val="24"/>
          <w:szCs w:val="24"/>
          <w:lang w:eastAsia="fr-FR"/>
        </w:rPr>
        <w:t>a. Production de l’acide citrique</w:t>
      </w:r>
    </w:p>
    <w:p w:rsidR="0024612B" w:rsidRPr="00200EA9" w:rsidRDefault="0024612B" w:rsidP="0024612B">
      <w:p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sz w:val="24"/>
          <w:szCs w:val="24"/>
          <w:lang w:eastAsia="fr-FR"/>
        </w:rPr>
        <w:t>L’acide citrique (C</w:t>
      </w:r>
      <w:r w:rsidRPr="00200EA9">
        <w:rPr>
          <w:rFonts w:ascii="Cambria Math" w:eastAsia="Times New Roman" w:hAnsi="Cambria Math" w:cstheme="majorBidi"/>
          <w:sz w:val="24"/>
          <w:szCs w:val="24"/>
          <w:lang w:eastAsia="fr-FR"/>
        </w:rPr>
        <w:t>₆</w:t>
      </w:r>
      <w:r w:rsidRPr="00200EA9">
        <w:rPr>
          <w:rFonts w:asciiTheme="majorBidi" w:eastAsia="Times New Roman" w:hAnsiTheme="majorBidi" w:cstheme="majorBidi"/>
          <w:sz w:val="24"/>
          <w:szCs w:val="24"/>
          <w:lang w:eastAsia="fr-FR"/>
        </w:rPr>
        <w:t>H</w:t>
      </w:r>
      <w:r w:rsidRPr="00200EA9">
        <w:rPr>
          <w:rFonts w:ascii="Cambria Math" w:eastAsia="Times New Roman" w:hAnsi="Cambria Math" w:cstheme="majorBidi"/>
          <w:sz w:val="24"/>
          <w:szCs w:val="24"/>
          <w:lang w:eastAsia="fr-FR"/>
        </w:rPr>
        <w:t>₈</w:t>
      </w:r>
      <w:r w:rsidRPr="00200EA9">
        <w:rPr>
          <w:rFonts w:asciiTheme="majorBidi" w:eastAsia="Times New Roman" w:hAnsiTheme="majorBidi" w:cstheme="majorBidi"/>
          <w:sz w:val="24"/>
          <w:szCs w:val="24"/>
          <w:lang w:eastAsia="fr-FR"/>
        </w:rPr>
        <w:t>O</w:t>
      </w:r>
      <w:r w:rsidRPr="00200EA9">
        <w:rPr>
          <w:rFonts w:ascii="Cambria Math" w:eastAsia="Times New Roman" w:hAnsi="Cambria Math" w:cstheme="majorBidi"/>
          <w:sz w:val="24"/>
          <w:szCs w:val="24"/>
          <w:lang w:eastAsia="fr-FR"/>
        </w:rPr>
        <w:t>₇</w:t>
      </w:r>
      <w:r w:rsidRPr="00200EA9">
        <w:rPr>
          <w:rFonts w:asciiTheme="majorBidi" w:eastAsia="Times New Roman" w:hAnsiTheme="majorBidi" w:cstheme="majorBidi"/>
          <w:sz w:val="24"/>
          <w:szCs w:val="24"/>
          <w:lang w:eastAsia="fr-FR"/>
        </w:rPr>
        <w:t xml:space="preserve">), présent naturellement dans les agrumes comme l’orange et le citron, était autrefois extrait uniquement de ces fruits pour les besoins industriels. Cependant, au début du XXe siècle, la production d’acide citrique a été révolutionnée par l'utilisation de </w:t>
      </w:r>
      <w:r w:rsidRPr="00200EA9">
        <w:rPr>
          <w:rFonts w:asciiTheme="majorBidi" w:eastAsia="Times New Roman" w:hAnsiTheme="majorBidi" w:cstheme="majorBidi"/>
          <w:sz w:val="24"/>
          <w:szCs w:val="24"/>
          <w:lang w:eastAsia="fr-FR"/>
        </w:rPr>
        <w:lastRenderedPageBreak/>
        <w:t xml:space="preserve">moisissures, notamment </w:t>
      </w:r>
      <w:r w:rsidRPr="00200EA9">
        <w:rPr>
          <w:rFonts w:asciiTheme="majorBidi" w:eastAsia="Times New Roman" w:hAnsiTheme="majorBidi" w:cstheme="majorBidi"/>
          <w:i/>
          <w:iCs/>
          <w:sz w:val="24"/>
          <w:szCs w:val="24"/>
          <w:lang w:eastAsia="fr-FR"/>
        </w:rPr>
        <w:t>Aspergillus niger</w:t>
      </w:r>
      <w:r w:rsidRPr="00200EA9">
        <w:rPr>
          <w:rFonts w:asciiTheme="majorBidi" w:eastAsia="Times New Roman" w:hAnsiTheme="majorBidi" w:cstheme="majorBidi"/>
          <w:sz w:val="24"/>
          <w:szCs w:val="24"/>
          <w:lang w:eastAsia="fr-FR"/>
        </w:rPr>
        <w:t>, un champignon capable de produire cet acide en grande quantité.</w:t>
      </w:r>
    </w:p>
    <w:p w:rsidR="0024612B" w:rsidRDefault="0024612B" w:rsidP="0024612B">
      <w:p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sz w:val="24"/>
          <w:szCs w:val="24"/>
          <w:lang w:eastAsia="fr-FR"/>
        </w:rPr>
        <w:t xml:space="preserve">La production d'acide citrique par </w:t>
      </w:r>
      <w:r w:rsidRPr="00200EA9">
        <w:rPr>
          <w:rFonts w:asciiTheme="majorBidi" w:eastAsia="Times New Roman" w:hAnsiTheme="majorBidi" w:cstheme="majorBidi"/>
          <w:i/>
          <w:iCs/>
          <w:sz w:val="24"/>
          <w:szCs w:val="24"/>
          <w:lang w:eastAsia="fr-FR"/>
        </w:rPr>
        <w:t>A. niger</w:t>
      </w:r>
      <w:r w:rsidRPr="00200EA9">
        <w:rPr>
          <w:rFonts w:asciiTheme="majorBidi" w:eastAsia="Times New Roman" w:hAnsiTheme="majorBidi" w:cstheme="majorBidi"/>
          <w:sz w:val="24"/>
          <w:szCs w:val="24"/>
          <w:lang w:eastAsia="fr-FR"/>
        </w:rPr>
        <w:t xml:space="preserve"> dépend de plusieurs facteurs, notamment :</w:t>
      </w:r>
    </w:p>
    <w:p w:rsidR="0024612B" w:rsidRPr="00200EA9" w:rsidRDefault="0024612B" w:rsidP="0024612B">
      <w:pPr>
        <w:spacing w:before="100" w:beforeAutospacing="1" w:after="100" w:afterAutospacing="1"/>
        <w:rPr>
          <w:rFonts w:asciiTheme="majorBidi" w:eastAsia="Times New Roman" w:hAnsiTheme="majorBidi" w:cstheme="majorBidi"/>
          <w:sz w:val="24"/>
          <w:szCs w:val="24"/>
          <w:lang w:eastAsia="fr-FR"/>
        </w:rPr>
      </w:pPr>
    </w:p>
    <w:p w:rsidR="0024612B" w:rsidRPr="00200EA9" w:rsidRDefault="0024612B" w:rsidP="0024612B">
      <w:pPr>
        <w:numPr>
          <w:ilvl w:val="0"/>
          <w:numId w:val="2"/>
        </w:num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b/>
          <w:bCs/>
          <w:sz w:val="24"/>
          <w:szCs w:val="24"/>
          <w:lang w:eastAsia="fr-FR"/>
        </w:rPr>
        <w:t>La source de carbone</w:t>
      </w:r>
      <w:r w:rsidRPr="00200EA9">
        <w:rPr>
          <w:rFonts w:asciiTheme="majorBidi" w:eastAsia="Times New Roman" w:hAnsiTheme="majorBidi" w:cstheme="majorBidi"/>
          <w:sz w:val="24"/>
          <w:szCs w:val="24"/>
          <w:lang w:eastAsia="fr-FR"/>
        </w:rPr>
        <w:t xml:space="preserve"> : le saccharose, avec une concentration optimale de 140 à 220 g/L, favorise une production élevée.</w:t>
      </w:r>
    </w:p>
    <w:p w:rsidR="0024612B" w:rsidRPr="00200EA9" w:rsidRDefault="0024612B" w:rsidP="0024612B">
      <w:pPr>
        <w:numPr>
          <w:ilvl w:val="0"/>
          <w:numId w:val="2"/>
        </w:num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b/>
          <w:bCs/>
          <w:sz w:val="24"/>
          <w:szCs w:val="24"/>
          <w:lang w:eastAsia="fr-FR"/>
        </w:rPr>
        <w:t>La source d’azote</w:t>
      </w:r>
      <w:r w:rsidRPr="00200EA9">
        <w:rPr>
          <w:rFonts w:asciiTheme="majorBidi" w:eastAsia="Times New Roman" w:hAnsiTheme="majorBidi" w:cstheme="majorBidi"/>
          <w:sz w:val="24"/>
          <w:szCs w:val="24"/>
          <w:lang w:eastAsia="fr-FR"/>
        </w:rPr>
        <w:t xml:space="preserve"> : elle doit être maintenue en dessous de 0,4 g/L pour éviter l’inhibition de la biosynthèse.</w:t>
      </w:r>
    </w:p>
    <w:p w:rsidR="0024612B" w:rsidRPr="00200EA9" w:rsidRDefault="0024612B" w:rsidP="0024612B">
      <w:pPr>
        <w:numPr>
          <w:ilvl w:val="0"/>
          <w:numId w:val="2"/>
        </w:num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b/>
          <w:bCs/>
          <w:sz w:val="24"/>
          <w:szCs w:val="24"/>
          <w:lang w:eastAsia="fr-FR"/>
        </w:rPr>
        <w:t>Les sels d’ammonium</w:t>
      </w:r>
      <w:r w:rsidRPr="00200EA9">
        <w:rPr>
          <w:rFonts w:asciiTheme="majorBidi" w:eastAsia="Times New Roman" w:hAnsiTheme="majorBidi" w:cstheme="majorBidi"/>
          <w:sz w:val="24"/>
          <w:szCs w:val="24"/>
          <w:lang w:eastAsia="fr-FR"/>
        </w:rPr>
        <w:t>, tels que le sulfate d'ammonium ((NH</w:t>
      </w:r>
      <w:r w:rsidRPr="00200EA9">
        <w:rPr>
          <w:rFonts w:ascii="Cambria Math" w:eastAsia="Times New Roman" w:hAnsi="Cambria Math" w:cstheme="majorBidi"/>
          <w:sz w:val="24"/>
          <w:szCs w:val="24"/>
          <w:lang w:eastAsia="fr-FR"/>
        </w:rPr>
        <w:t>₄</w:t>
      </w:r>
      <w:r w:rsidRPr="00200EA9">
        <w:rPr>
          <w:rFonts w:asciiTheme="majorBidi" w:eastAsia="Times New Roman" w:hAnsiTheme="majorBidi" w:cstheme="majorBidi"/>
          <w:sz w:val="24"/>
          <w:szCs w:val="24"/>
          <w:lang w:eastAsia="fr-FR"/>
        </w:rPr>
        <w:t>)</w:t>
      </w:r>
      <w:r w:rsidRPr="00200EA9">
        <w:rPr>
          <w:rFonts w:ascii="Cambria Math" w:eastAsia="Times New Roman" w:hAnsi="Cambria Math" w:cstheme="majorBidi"/>
          <w:sz w:val="24"/>
          <w:szCs w:val="24"/>
          <w:lang w:eastAsia="fr-FR"/>
        </w:rPr>
        <w:t>₂</w:t>
      </w:r>
      <w:r w:rsidRPr="00200EA9">
        <w:rPr>
          <w:rFonts w:asciiTheme="majorBidi" w:eastAsia="Times New Roman" w:hAnsiTheme="majorBidi" w:cstheme="majorBidi"/>
          <w:sz w:val="24"/>
          <w:szCs w:val="24"/>
          <w:lang w:eastAsia="fr-FR"/>
        </w:rPr>
        <w:t>SO</w:t>
      </w:r>
      <w:r w:rsidRPr="00200EA9">
        <w:rPr>
          <w:rFonts w:ascii="Cambria Math" w:eastAsia="Times New Roman" w:hAnsi="Cambria Math" w:cstheme="majorBidi"/>
          <w:sz w:val="24"/>
          <w:szCs w:val="24"/>
          <w:lang w:eastAsia="fr-FR"/>
        </w:rPr>
        <w:t>₄</w:t>
      </w:r>
      <w:r w:rsidRPr="00200EA9">
        <w:rPr>
          <w:rFonts w:asciiTheme="majorBidi" w:eastAsia="Times New Roman" w:hAnsiTheme="majorBidi" w:cstheme="majorBidi"/>
          <w:sz w:val="24"/>
          <w:szCs w:val="24"/>
          <w:lang w:eastAsia="fr-FR"/>
        </w:rPr>
        <w:t xml:space="preserve">), qui sont couramment utilisés pour soutenir la croissance de </w:t>
      </w:r>
      <w:r w:rsidRPr="00200EA9">
        <w:rPr>
          <w:rFonts w:asciiTheme="majorBidi" w:eastAsia="Times New Roman" w:hAnsiTheme="majorBidi" w:cstheme="majorBidi"/>
          <w:i/>
          <w:iCs/>
          <w:sz w:val="24"/>
          <w:szCs w:val="24"/>
          <w:lang w:eastAsia="fr-FR"/>
        </w:rPr>
        <w:t>A. niger</w:t>
      </w:r>
      <w:r w:rsidRPr="00200EA9">
        <w:rPr>
          <w:rFonts w:asciiTheme="majorBidi" w:eastAsia="Times New Roman" w:hAnsiTheme="majorBidi" w:cstheme="majorBidi"/>
          <w:sz w:val="24"/>
          <w:szCs w:val="24"/>
          <w:lang w:eastAsia="fr-FR"/>
        </w:rPr>
        <w:t xml:space="preserve"> dans les conditions industrielles.</w:t>
      </w:r>
    </w:p>
    <w:p w:rsidR="0024612B" w:rsidRPr="00200EA9" w:rsidRDefault="0024612B" w:rsidP="0024612B">
      <w:p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sz w:val="24"/>
          <w:szCs w:val="24"/>
          <w:lang w:eastAsia="fr-FR"/>
        </w:rPr>
        <w:t xml:space="preserve">L’acide citrique est aujourd’hui largement employé dans l'industrie alimentaire en tant qu’additif et acidifiant, ainsi que dans la fabrication de détergents et de cosmétiques. La productivité peut varier selon la souche de </w:t>
      </w:r>
      <w:r w:rsidRPr="00200EA9">
        <w:rPr>
          <w:rFonts w:asciiTheme="majorBidi" w:eastAsia="Times New Roman" w:hAnsiTheme="majorBidi" w:cstheme="majorBidi"/>
          <w:i/>
          <w:iCs/>
          <w:sz w:val="24"/>
          <w:szCs w:val="24"/>
          <w:lang w:eastAsia="fr-FR"/>
        </w:rPr>
        <w:t>A. niger</w:t>
      </w:r>
      <w:r w:rsidRPr="00200EA9">
        <w:rPr>
          <w:rFonts w:asciiTheme="majorBidi" w:eastAsia="Times New Roman" w:hAnsiTheme="majorBidi" w:cstheme="majorBidi"/>
          <w:sz w:val="24"/>
          <w:szCs w:val="24"/>
          <w:lang w:eastAsia="fr-FR"/>
        </w:rPr>
        <w:t xml:space="preserve"> et les conditions de fermentation, allant de 88 à 264 mg/g de matière sèche pour les souches naturelles à 616,5 mg/g pour des souches mutées.</w:t>
      </w:r>
    </w:p>
    <w:p w:rsidR="0024612B" w:rsidRPr="00200EA9" w:rsidRDefault="0024612B" w:rsidP="0024612B">
      <w:pPr>
        <w:spacing w:before="100" w:beforeAutospacing="1" w:after="100" w:afterAutospacing="1"/>
        <w:outlineLvl w:val="3"/>
        <w:rPr>
          <w:rFonts w:asciiTheme="majorBidi" w:eastAsia="Times New Roman" w:hAnsiTheme="majorBidi" w:cstheme="majorBidi"/>
          <w:b/>
          <w:bCs/>
          <w:sz w:val="24"/>
          <w:szCs w:val="24"/>
          <w:lang w:eastAsia="fr-FR"/>
        </w:rPr>
      </w:pPr>
      <w:r w:rsidRPr="00200EA9">
        <w:rPr>
          <w:rFonts w:asciiTheme="majorBidi" w:eastAsia="Times New Roman" w:hAnsiTheme="majorBidi" w:cstheme="majorBidi"/>
          <w:b/>
          <w:bCs/>
          <w:sz w:val="24"/>
          <w:szCs w:val="24"/>
          <w:lang w:eastAsia="fr-FR"/>
        </w:rPr>
        <w:t>b. Production de l’acide lactique</w:t>
      </w:r>
    </w:p>
    <w:p w:rsidR="0024612B" w:rsidRPr="00200EA9" w:rsidRDefault="0024612B" w:rsidP="0024612B">
      <w:p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sz w:val="24"/>
          <w:szCs w:val="24"/>
          <w:lang w:eastAsia="fr-FR"/>
        </w:rPr>
        <w:t>L’acide lactique, ou acide 2-hydroxypropanoïque, est un acide organique majeur dans les produits laitiers fermentés, conférant des propriétés acidifiantes et préservatives. Découvert pour la première fois en 1847 par Blondeau, l’acide lactique existe sous deux isomères optiquement actifs, L(+) et D(-).</w:t>
      </w:r>
    </w:p>
    <w:p w:rsidR="0024612B" w:rsidRPr="00200EA9" w:rsidRDefault="0024612B" w:rsidP="0024612B">
      <w:p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sz w:val="24"/>
          <w:szCs w:val="24"/>
          <w:lang w:eastAsia="fr-FR"/>
        </w:rPr>
        <w:t>La fermentation lactique est le processus par lequel le lactose est transformé en acide lactique. Ce type de fermentation, réalisée par les bactéries lactiques, représente environ 90 % de la production mondiale d’acide lactique, le reste étant produit par synthèse chimique. La réaction de fermentation lactique implique la transformation d'une molécule de glucose en deux molécules d'acide pyruvique, lesquelles sont ensuite réduites en acide lactique sans émission de CO</w:t>
      </w:r>
      <w:r w:rsidRPr="00200EA9">
        <w:rPr>
          <w:rFonts w:ascii="Cambria Math" w:eastAsia="Times New Roman" w:hAnsi="Cambria Math" w:cstheme="majorBidi"/>
          <w:sz w:val="24"/>
          <w:szCs w:val="24"/>
          <w:lang w:eastAsia="fr-FR"/>
        </w:rPr>
        <w:t>₂</w:t>
      </w:r>
      <w:r w:rsidRPr="00200EA9">
        <w:rPr>
          <w:rFonts w:asciiTheme="majorBidi" w:eastAsia="Times New Roman" w:hAnsiTheme="majorBidi" w:cstheme="majorBidi"/>
          <w:sz w:val="24"/>
          <w:szCs w:val="24"/>
          <w:lang w:eastAsia="fr-FR"/>
        </w:rPr>
        <w:t xml:space="preserve"> :</w:t>
      </w:r>
    </w:p>
    <w:p w:rsidR="0024612B" w:rsidRPr="00200EA9" w:rsidRDefault="0024612B" w:rsidP="0024612B">
      <w:pPr>
        <w:numPr>
          <w:ilvl w:val="0"/>
          <w:numId w:val="3"/>
        </w:num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b/>
          <w:bCs/>
          <w:sz w:val="24"/>
          <w:szCs w:val="24"/>
          <w:lang w:eastAsia="fr-FR"/>
        </w:rPr>
        <w:t>Fermentation homolactique</w:t>
      </w:r>
      <w:r w:rsidRPr="00200EA9">
        <w:rPr>
          <w:rFonts w:asciiTheme="majorBidi" w:eastAsia="Times New Roman" w:hAnsiTheme="majorBidi" w:cstheme="majorBidi"/>
          <w:sz w:val="24"/>
          <w:szCs w:val="24"/>
          <w:lang w:eastAsia="fr-FR"/>
        </w:rPr>
        <w:t xml:space="preserve"> : effectuée par des bactéries homofermentaires des genres </w:t>
      </w:r>
      <w:r w:rsidRPr="00200EA9">
        <w:rPr>
          <w:rFonts w:asciiTheme="majorBidi" w:eastAsia="Times New Roman" w:hAnsiTheme="majorBidi" w:cstheme="majorBidi"/>
          <w:i/>
          <w:iCs/>
          <w:sz w:val="24"/>
          <w:szCs w:val="24"/>
          <w:lang w:eastAsia="fr-FR"/>
        </w:rPr>
        <w:t>Lactococcus</w:t>
      </w:r>
      <w:r w:rsidRPr="00200EA9">
        <w:rPr>
          <w:rFonts w:asciiTheme="majorBidi" w:eastAsia="Times New Roman" w:hAnsiTheme="majorBidi" w:cstheme="majorBidi"/>
          <w:sz w:val="24"/>
          <w:szCs w:val="24"/>
          <w:lang w:eastAsia="fr-FR"/>
        </w:rPr>
        <w:t xml:space="preserve"> et </w:t>
      </w:r>
      <w:r w:rsidRPr="00200EA9">
        <w:rPr>
          <w:rFonts w:asciiTheme="majorBidi" w:eastAsia="Times New Roman" w:hAnsiTheme="majorBidi" w:cstheme="majorBidi"/>
          <w:i/>
          <w:iCs/>
          <w:sz w:val="24"/>
          <w:szCs w:val="24"/>
          <w:lang w:eastAsia="fr-FR"/>
        </w:rPr>
        <w:t>Streptococcus</w:t>
      </w:r>
      <w:r w:rsidRPr="00200EA9">
        <w:rPr>
          <w:rFonts w:asciiTheme="majorBidi" w:eastAsia="Times New Roman" w:hAnsiTheme="majorBidi" w:cstheme="majorBidi"/>
          <w:sz w:val="24"/>
          <w:szCs w:val="24"/>
          <w:lang w:eastAsia="fr-FR"/>
        </w:rPr>
        <w:t>, elle produit exclusivement de l’acide lactique selon la réaction :</w:t>
      </w:r>
    </w:p>
    <w:p w:rsidR="0024612B" w:rsidRPr="00200EA9" w:rsidRDefault="0024612B" w:rsidP="0024612B">
      <w:pPr>
        <w:spacing w:beforeAutospacing="1" w:after="0" w:afterAutospacing="1"/>
        <w:ind w:left="720"/>
        <w:rPr>
          <w:rFonts w:asciiTheme="majorBidi" w:eastAsia="Times New Roman" w:hAnsiTheme="majorBidi" w:cstheme="majorBidi"/>
          <w:sz w:val="24"/>
          <w:szCs w:val="24"/>
          <w:lang w:eastAsia="fr-FR"/>
        </w:rPr>
      </w:pPr>
      <w:r w:rsidRPr="00200EA9">
        <w:rPr>
          <w:rFonts w:asciiTheme="majorBidi" w:eastAsia="Times New Roman" w:hAnsiTheme="majorBidi" w:cstheme="majorBidi"/>
          <w:sz w:val="24"/>
          <w:szCs w:val="24"/>
          <w:lang w:eastAsia="fr-FR"/>
        </w:rPr>
        <w:t>1 Glucose→2 Acide lactique+2 ATP</w:t>
      </w:r>
    </w:p>
    <w:p w:rsidR="0024612B" w:rsidRPr="00200EA9" w:rsidRDefault="0024612B" w:rsidP="0024612B">
      <w:pPr>
        <w:numPr>
          <w:ilvl w:val="0"/>
          <w:numId w:val="3"/>
        </w:num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b/>
          <w:bCs/>
          <w:sz w:val="24"/>
          <w:szCs w:val="24"/>
          <w:lang w:eastAsia="fr-FR"/>
        </w:rPr>
        <w:lastRenderedPageBreak/>
        <w:t>Fermentation hétérolactique</w:t>
      </w:r>
      <w:r w:rsidRPr="00200EA9">
        <w:rPr>
          <w:rFonts w:asciiTheme="majorBidi" w:eastAsia="Times New Roman" w:hAnsiTheme="majorBidi" w:cstheme="majorBidi"/>
          <w:sz w:val="24"/>
          <w:szCs w:val="24"/>
          <w:lang w:eastAsia="fr-FR"/>
        </w:rPr>
        <w:t xml:space="preserve"> : réalisée par des bactéries hétérofermentaires des genres </w:t>
      </w:r>
      <w:r w:rsidRPr="00200EA9">
        <w:rPr>
          <w:rFonts w:asciiTheme="majorBidi" w:eastAsia="Times New Roman" w:hAnsiTheme="majorBidi" w:cstheme="majorBidi"/>
          <w:i/>
          <w:iCs/>
          <w:sz w:val="24"/>
          <w:szCs w:val="24"/>
          <w:lang w:eastAsia="fr-FR"/>
        </w:rPr>
        <w:t>Leuconostoc</w:t>
      </w:r>
      <w:r w:rsidRPr="00200EA9">
        <w:rPr>
          <w:rFonts w:asciiTheme="majorBidi" w:eastAsia="Times New Roman" w:hAnsiTheme="majorBidi" w:cstheme="majorBidi"/>
          <w:sz w:val="24"/>
          <w:szCs w:val="24"/>
          <w:lang w:eastAsia="fr-FR"/>
        </w:rPr>
        <w:t xml:space="preserve"> et </w:t>
      </w:r>
      <w:r w:rsidRPr="00200EA9">
        <w:rPr>
          <w:rFonts w:asciiTheme="majorBidi" w:eastAsia="Times New Roman" w:hAnsiTheme="majorBidi" w:cstheme="majorBidi"/>
          <w:i/>
          <w:iCs/>
          <w:sz w:val="24"/>
          <w:szCs w:val="24"/>
          <w:lang w:eastAsia="fr-FR"/>
        </w:rPr>
        <w:t>Lactobacillus</w:t>
      </w:r>
      <w:r w:rsidRPr="00200EA9">
        <w:rPr>
          <w:rFonts w:asciiTheme="majorBidi" w:eastAsia="Times New Roman" w:hAnsiTheme="majorBidi" w:cstheme="majorBidi"/>
          <w:sz w:val="24"/>
          <w:szCs w:val="24"/>
          <w:lang w:eastAsia="fr-FR"/>
        </w:rPr>
        <w:t>, elle conduit à la formation d’acide lactique, d’éthanol ou d’acétate, de CO</w:t>
      </w:r>
      <w:r w:rsidRPr="00200EA9">
        <w:rPr>
          <w:rFonts w:ascii="Cambria Math" w:eastAsia="Times New Roman" w:hAnsi="Cambria Math" w:cstheme="majorBidi"/>
          <w:sz w:val="24"/>
          <w:szCs w:val="24"/>
          <w:lang w:eastAsia="fr-FR"/>
        </w:rPr>
        <w:t>₂</w:t>
      </w:r>
      <w:r w:rsidRPr="00200EA9">
        <w:rPr>
          <w:rFonts w:asciiTheme="majorBidi" w:eastAsia="Times New Roman" w:hAnsiTheme="majorBidi" w:cstheme="majorBidi"/>
          <w:sz w:val="24"/>
          <w:szCs w:val="24"/>
          <w:lang w:eastAsia="fr-FR"/>
        </w:rPr>
        <w:t xml:space="preserve"> et d’ATP :</w:t>
      </w:r>
    </w:p>
    <w:p w:rsidR="0024612B" w:rsidRPr="00200EA9" w:rsidRDefault="0024612B" w:rsidP="0024612B">
      <w:pPr>
        <w:spacing w:beforeAutospacing="1" w:after="0" w:afterAutospacing="1"/>
        <w:ind w:left="720"/>
        <w:rPr>
          <w:rFonts w:asciiTheme="majorBidi" w:eastAsia="Times New Roman" w:hAnsiTheme="majorBidi" w:cstheme="majorBidi"/>
          <w:sz w:val="24"/>
          <w:szCs w:val="24"/>
          <w:lang w:eastAsia="fr-FR"/>
        </w:rPr>
      </w:pPr>
      <w:r w:rsidRPr="00200EA9">
        <w:rPr>
          <w:rFonts w:asciiTheme="majorBidi" w:eastAsia="Times New Roman" w:hAnsiTheme="majorBidi" w:cstheme="majorBidi"/>
          <w:sz w:val="24"/>
          <w:szCs w:val="24"/>
          <w:lang w:eastAsia="fr-FR"/>
        </w:rPr>
        <w:t>1 Glucose→1 Acide lactique+1 Ethanol+1 CO2+</w:t>
      </w:r>
    </w:p>
    <w:p w:rsidR="0024612B" w:rsidRPr="00200EA9" w:rsidRDefault="0024612B" w:rsidP="0024612B">
      <w:p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sz w:val="24"/>
          <w:szCs w:val="24"/>
          <w:lang w:eastAsia="fr-FR"/>
        </w:rPr>
        <w:t>L'acide lactique est essentiel dans la production industrielle d'une variété de produits fermentés :</w:t>
      </w:r>
    </w:p>
    <w:p w:rsidR="0024612B" w:rsidRPr="00200EA9" w:rsidRDefault="0024612B" w:rsidP="0024612B">
      <w:pPr>
        <w:numPr>
          <w:ilvl w:val="0"/>
          <w:numId w:val="4"/>
        </w:num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b/>
          <w:bCs/>
          <w:sz w:val="24"/>
          <w:szCs w:val="24"/>
          <w:lang w:eastAsia="fr-FR"/>
        </w:rPr>
        <w:t>Produits laitiers fermentés</w:t>
      </w:r>
      <w:r w:rsidRPr="00200EA9">
        <w:rPr>
          <w:rFonts w:asciiTheme="majorBidi" w:eastAsia="Times New Roman" w:hAnsiTheme="majorBidi" w:cstheme="majorBidi"/>
          <w:sz w:val="24"/>
          <w:szCs w:val="24"/>
          <w:lang w:eastAsia="fr-FR"/>
        </w:rPr>
        <w:t xml:space="preserve"> : yaourts, fromages, avec des bénéfices nutritionnels et une amélioration de la texture et des saveurs.</w:t>
      </w:r>
    </w:p>
    <w:p w:rsidR="0024612B" w:rsidRPr="00200EA9" w:rsidRDefault="0024612B" w:rsidP="0024612B">
      <w:pPr>
        <w:numPr>
          <w:ilvl w:val="0"/>
          <w:numId w:val="4"/>
        </w:num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b/>
          <w:bCs/>
          <w:sz w:val="24"/>
          <w:szCs w:val="24"/>
          <w:lang w:eastAsia="fr-FR"/>
        </w:rPr>
        <w:t>Produits végétaux fermentés</w:t>
      </w:r>
      <w:r w:rsidRPr="00200EA9">
        <w:rPr>
          <w:rFonts w:asciiTheme="majorBidi" w:eastAsia="Times New Roman" w:hAnsiTheme="majorBidi" w:cstheme="majorBidi"/>
          <w:sz w:val="24"/>
          <w:szCs w:val="24"/>
          <w:lang w:eastAsia="fr-FR"/>
        </w:rPr>
        <w:t xml:space="preserve"> : olives, lait de soja, qui tirent avantage de ses propriétés de conservation.</w:t>
      </w:r>
    </w:p>
    <w:p w:rsidR="0024612B" w:rsidRPr="00200EA9" w:rsidRDefault="0024612B" w:rsidP="0024612B">
      <w:pPr>
        <w:numPr>
          <w:ilvl w:val="0"/>
          <w:numId w:val="4"/>
        </w:num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b/>
          <w:bCs/>
          <w:sz w:val="24"/>
          <w:szCs w:val="24"/>
          <w:lang w:eastAsia="fr-FR"/>
        </w:rPr>
        <w:t>Conservation des aliments</w:t>
      </w:r>
      <w:r w:rsidRPr="00200EA9">
        <w:rPr>
          <w:rFonts w:asciiTheme="majorBidi" w:eastAsia="Times New Roman" w:hAnsiTheme="majorBidi" w:cstheme="majorBidi"/>
          <w:sz w:val="24"/>
          <w:szCs w:val="24"/>
          <w:lang w:eastAsia="fr-FR"/>
        </w:rPr>
        <w:t xml:space="preserve"> : l’acide lactique contribue à l'inhibition des microorganismes pathogènes et de détérioration, grâce à ses propriétés probiotiques et à la production de bactériocines.</w:t>
      </w:r>
    </w:p>
    <w:p w:rsidR="0024612B" w:rsidRPr="00200EA9" w:rsidRDefault="0024612B" w:rsidP="0024612B">
      <w:p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sz w:val="24"/>
          <w:szCs w:val="24"/>
          <w:lang w:eastAsia="fr-FR"/>
        </w:rPr>
        <w:t>Ce processus de fermentation permet de prolonger la durée de conservation des aliments tout en améliorant leur qualité et leur sécurité alimentaire.</w:t>
      </w:r>
    </w:p>
    <w:p w:rsidR="0024612B" w:rsidRPr="00200EA9" w:rsidRDefault="0024612B" w:rsidP="0024612B">
      <w:pPr>
        <w:rPr>
          <w:rFonts w:asciiTheme="majorBidi" w:hAnsiTheme="majorBidi" w:cstheme="majorBidi"/>
          <w:sz w:val="24"/>
          <w:szCs w:val="24"/>
        </w:rPr>
      </w:pPr>
    </w:p>
    <w:p w:rsidR="0024612B" w:rsidRPr="00200EA9" w:rsidRDefault="0024612B" w:rsidP="0024612B">
      <w:pPr>
        <w:rPr>
          <w:rFonts w:asciiTheme="majorBidi" w:hAnsiTheme="majorBidi" w:cstheme="majorBidi"/>
          <w:sz w:val="24"/>
          <w:szCs w:val="24"/>
        </w:rPr>
      </w:pPr>
    </w:p>
    <w:p w:rsidR="0024612B" w:rsidRPr="00200EA9" w:rsidRDefault="0024612B" w:rsidP="0024612B">
      <w:pPr>
        <w:rPr>
          <w:rFonts w:asciiTheme="majorBidi" w:hAnsiTheme="majorBidi" w:cstheme="majorBidi"/>
          <w:sz w:val="24"/>
          <w:szCs w:val="24"/>
        </w:rPr>
      </w:pPr>
      <w:r w:rsidRPr="00200EA9">
        <w:rPr>
          <w:rFonts w:asciiTheme="majorBidi" w:hAnsiTheme="majorBidi" w:cstheme="majorBidi"/>
          <w:noProof/>
          <w:sz w:val="24"/>
          <w:szCs w:val="24"/>
          <w:lang w:eastAsia="fr-FR"/>
        </w:rPr>
        <w:lastRenderedPageBreak/>
        <w:drawing>
          <wp:inline distT="0" distB="0" distL="0" distR="0">
            <wp:extent cx="5705475" cy="4486275"/>
            <wp:effectExtent l="19050" t="0" r="952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05475" cy="4486275"/>
                    </a:xfrm>
                    <a:prstGeom prst="rect">
                      <a:avLst/>
                    </a:prstGeom>
                    <a:noFill/>
                    <a:ln w="9525">
                      <a:noFill/>
                      <a:miter lim="800000"/>
                      <a:headEnd/>
                      <a:tailEnd/>
                    </a:ln>
                  </pic:spPr>
                </pic:pic>
              </a:graphicData>
            </a:graphic>
          </wp:inline>
        </w:drawing>
      </w:r>
    </w:p>
    <w:p w:rsidR="0024612B" w:rsidRPr="00200EA9" w:rsidRDefault="0024612B" w:rsidP="0024612B">
      <w:pPr>
        <w:rPr>
          <w:rFonts w:asciiTheme="majorBidi" w:hAnsiTheme="majorBidi" w:cstheme="majorBidi"/>
          <w:sz w:val="24"/>
          <w:szCs w:val="24"/>
        </w:rPr>
      </w:pPr>
    </w:p>
    <w:p w:rsidR="0024612B" w:rsidRPr="00200EA9" w:rsidRDefault="0024612B" w:rsidP="0024612B">
      <w:pPr>
        <w:pStyle w:val="NormalWeb"/>
        <w:spacing w:line="276" w:lineRule="auto"/>
        <w:rPr>
          <w:rFonts w:asciiTheme="majorBidi" w:hAnsiTheme="majorBidi" w:cstheme="majorBidi"/>
        </w:rPr>
      </w:pPr>
      <w:r w:rsidRPr="00200EA9">
        <w:rPr>
          <w:rStyle w:val="lev"/>
          <w:rFonts w:asciiTheme="majorBidi" w:hAnsiTheme="majorBidi" w:cstheme="majorBidi"/>
        </w:rPr>
        <w:t>Figure 12 : Types de fermentations lactiques</w:t>
      </w:r>
    </w:p>
    <w:p w:rsidR="0024612B" w:rsidRPr="00200EA9" w:rsidRDefault="0024612B" w:rsidP="0024612B">
      <w:pPr>
        <w:pStyle w:val="NormalWeb"/>
        <w:spacing w:line="276" w:lineRule="auto"/>
        <w:jc w:val="both"/>
        <w:rPr>
          <w:rFonts w:asciiTheme="majorBidi" w:hAnsiTheme="majorBidi" w:cstheme="majorBidi"/>
        </w:rPr>
      </w:pPr>
      <w:r w:rsidRPr="00200EA9">
        <w:rPr>
          <w:rFonts w:asciiTheme="majorBidi" w:hAnsiTheme="majorBidi" w:cstheme="majorBidi"/>
        </w:rPr>
        <w:t xml:space="preserve">La fermentation lactique est une méthode centrale dans l'industrie agroalimentaire, notamment pour la production de produits laitiers fermentés. Ce processus est soutenu par des </w:t>
      </w:r>
      <w:r w:rsidRPr="00200EA9">
        <w:rPr>
          <w:rStyle w:val="lev"/>
          <w:rFonts w:asciiTheme="majorBidi" w:hAnsiTheme="majorBidi" w:cstheme="majorBidi"/>
        </w:rPr>
        <w:t>ferments lactiques</w:t>
      </w:r>
      <w:r w:rsidRPr="00200EA9">
        <w:rPr>
          <w:rFonts w:asciiTheme="majorBidi" w:hAnsiTheme="majorBidi" w:cstheme="majorBidi"/>
        </w:rPr>
        <w:t>, qui sont des préparations contenant une forte concentration de microorganismes spécifiques. Ces ferments sont ajoutés au lait pour initier, accélérer, et contrôler la fermentation, permettant de produire divers aliments fermentés de manière homogène et avec des caractéristiques gustatives et texturales précises.</w:t>
      </w:r>
    </w:p>
    <w:p w:rsidR="0024612B" w:rsidRPr="00200EA9" w:rsidRDefault="0024612B" w:rsidP="0024612B">
      <w:pPr>
        <w:spacing w:before="100" w:beforeAutospacing="1" w:after="100" w:afterAutospacing="1"/>
        <w:outlineLvl w:val="2"/>
        <w:rPr>
          <w:rFonts w:asciiTheme="majorBidi" w:eastAsia="Times New Roman" w:hAnsiTheme="majorBidi" w:cstheme="majorBidi"/>
          <w:b/>
          <w:bCs/>
          <w:sz w:val="24"/>
          <w:szCs w:val="24"/>
          <w:lang w:eastAsia="fr-FR"/>
        </w:rPr>
      </w:pPr>
      <w:r w:rsidRPr="00200EA9">
        <w:rPr>
          <w:rFonts w:asciiTheme="majorBidi" w:eastAsia="Times New Roman" w:hAnsiTheme="majorBidi" w:cstheme="majorBidi"/>
          <w:b/>
          <w:bCs/>
          <w:sz w:val="24"/>
          <w:szCs w:val="24"/>
          <w:lang w:eastAsia="fr-FR"/>
        </w:rPr>
        <w:t>I.3. Production et Utilisations du Biogaz</w:t>
      </w:r>
    </w:p>
    <w:p w:rsidR="0024612B" w:rsidRPr="00200EA9" w:rsidRDefault="0024612B" w:rsidP="0024612B">
      <w:p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sz w:val="24"/>
          <w:szCs w:val="24"/>
          <w:lang w:eastAsia="fr-FR"/>
        </w:rPr>
        <w:t>Les microorganismes jouent un rôle clé dans la production d’énergie renouvelable et la réduction des polluants environnementaux. En particulier, certaines bactéries méthanogènes produisent du méthane, un gaz naturel exploité pour son potentiel énergétique. Le biogaz est un mélange de gaz où le méthane est le composant principal (50 à 72%), accompagné de dioxyde de carbone (25 à 50%) et de traces de sulfure d’hydrogène, d’azote, d’hydrogène, et de vapeur d'eau.</w:t>
      </w:r>
    </w:p>
    <w:p w:rsidR="0024612B" w:rsidRPr="00200EA9" w:rsidRDefault="0024612B" w:rsidP="0024612B">
      <w:pPr>
        <w:spacing w:before="100" w:beforeAutospacing="1" w:after="100" w:afterAutospacing="1"/>
        <w:outlineLvl w:val="3"/>
        <w:rPr>
          <w:rFonts w:asciiTheme="majorBidi" w:eastAsia="Times New Roman" w:hAnsiTheme="majorBidi" w:cstheme="majorBidi"/>
          <w:b/>
          <w:bCs/>
          <w:sz w:val="24"/>
          <w:szCs w:val="24"/>
          <w:lang w:eastAsia="fr-FR"/>
        </w:rPr>
      </w:pPr>
      <w:r w:rsidRPr="00200EA9">
        <w:rPr>
          <w:rFonts w:asciiTheme="majorBidi" w:eastAsia="Times New Roman" w:hAnsiTheme="majorBidi" w:cstheme="majorBidi"/>
          <w:b/>
          <w:bCs/>
          <w:sz w:val="24"/>
          <w:szCs w:val="24"/>
          <w:lang w:eastAsia="fr-FR"/>
        </w:rPr>
        <w:lastRenderedPageBreak/>
        <w:t>I.3.1. Utilisations du Biogaz</w:t>
      </w:r>
    </w:p>
    <w:p w:rsidR="0024612B" w:rsidRPr="00200EA9" w:rsidRDefault="0024612B" w:rsidP="0024612B">
      <w:p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sz w:val="24"/>
          <w:szCs w:val="24"/>
          <w:lang w:eastAsia="fr-FR"/>
        </w:rPr>
        <w:t>Le biogaz est valorisé pour :</w:t>
      </w:r>
    </w:p>
    <w:p w:rsidR="0024612B" w:rsidRPr="00200EA9" w:rsidRDefault="0024612B" w:rsidP="0024612B">
      <w:pPr>
        <w:numPr>
          <w:ilvl w:val="0"/>
          <w:numId w:val="5"/>
        </w:num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b/>
          <w:bCs/>
          <w:sz w:val="24"/>
          <w:szCs w:val="24"/>
          <w:lang w:eastAsia="fr-FR"/>
        </w:rPr>
        <w:t>Production d’électricité</w:t>
      </w:r>
      <w:r w:rsidRPr="00200EA9">
        <w:rPr>
          <w:rFonts w:asciiTheme="majorBidi" w:eastAsia="Times New Roman" w:hAnsiTheme="majorBidi" w:cstheme="majorBidi"/>
          <w:sz w:val="24"/>
          <w:szCs w:val="24"/>
          <w:lang w:eastAsia="fr-FR"/>
        </w:rPr>
        <w:t xml:space="preserve"> via la combustion dans des moteurs à gaz ou des turbines ;</w:t>
      </w:r>
    </w:p>
    <w:p w:rsidR="0024612B" w:rsidRPr="00200EA9" w:rsidRDefault="0024612B" w:rsidP="0024612B">
      <w:pPr>
        <w:numPr>
          <w:ilvl w:val="0"/>
          <w:numId w:val="5"/>
        </w:num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b/>
          <w:bCs/>
          <w:sz w:val="24"/>
          <w:szCs w:val="24"/>
          <w:lang w:eastAsia="fr-FR"/>
        </w:rPr>
        <w:t>Alimentation des centrales thermoélectriques</w:t>
      </w:r>
      <w:r w:rsidRPr="00200EA9">
        <w:rPr>
          <w:rFonts w:asciiTheme="majorBidi" w:eastAsia="Times New Roman" w:hAnsiTheme="majorBidi" w:cstheme="majorBidi"/>
          <w:sz w:val="24"/>
          <w:szCs w:val="24"/>
          <w:lang w:eastAsia="fr-FR"/>
        </w:rPr>
        <w:t xml:space="preserve"> ;</w:t>
      </w:r>
    </w:p>
    <w:p w:rsidR="0024612B" w:rsidRPr="00200EA9" w:rsidRDefault="0024612B" w:rsidP="0024612B">
      <w:pPr>
        <w:numPr>
          <w:ilvl w:val="0"/>
          <w:numId w:val="5"/>
        </w:num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b/>
          <w:bCs/>
          <w:sz w:val="24"/>
          <w:szCs w:val="24"/>
          <w:lang w:eastAsia="fr-FR"/>
        </w:rPr>
        <w:t>Chauffage collectif</w:t>
      </w:r>
      <w:r w:rsidRPr="00200EA9">
        <w:rPr>
          <w:rFonts w:asciiTheme="majorBidi" w:eastAsia="Times New Roman" w:hAnsiTheme="majorBidi" w:cstheme="majorBidi"/>
          <w:sz w:val="24"/>
          <w:szCs w:val="24"/>
          <w:lang w:eastAsia="fr-FR"/>
        </w:rPr>
        <w:t xml:space="preserve"> dans des chaufferies ;</w:t>
      </w:r>
    </w:p>
    <w:p w:rsidR="0024612B" w:rsidRPr="00200EA9" w:rsidRDefault="0024612B" w:rsidP="0024612B">
      <w:pPr>
        <w:numPr>
          <w:ilvl w:val="0"/>
          <w:numId w:val="5"/>
        </w:num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b/>
          <w:bCs/>
          <w:sz w:val="24"/>
          <w:szCs w:val="24"/>
          <w:lang w:eastAsia="fr-FR"/>
        </w:rPr>
        <w:t>Enrichissement en CO</w:t>
      </w:r>
      <w:r w:rsidRPr="00200EA9">
        <w:rPr>
          <w:rFonts w:ascii="Cambria Math" w:eastAsia="Times New Roman" w:hAnsi="Cambria Math" w:cstheme="majorBidi"/>
          <w:b/>
          <w:bCs/>
          <w:sz w:val="24"/>
          <w:szCs w:val="24"/>
          <w:lang w:eastAsia="fr-FR"/>
        </w:rPr>
        <w:t>₂</w:t>
      </w:r>
      <w:r w:rsidRPr="00200EA9">
        <w:rPr>
          <w:rFonts w:asciiTheme="majorBidi" w:eastAsia="Times New Roman" w:hAnsiTheme="majorBidi" w:cstheme="majorBidi"/>
          <w:b/>
          <w:bCs/>
          <w:sz w:val="24"/>
          <w:szCs w:val="24"/>
          <w:lang w:eastAsia="fr-FR"/>
        </w:rPr>
        <w:t xml:space="preserve"> des serres</w:t>
      </w:r>
      <w:r w:rsidRPr="00200EA9">
        <w:rPr>
          <w:rFonts w:asciiTheme="majorBidi" w:eastAsia="Times New Roman" w:hAnsiTheme="majorBidi" w:cstheme="majorBidi"/>
          <w:sz w:val="24"/>
          <w:szCs w:val="24"/>
          <w:lang w:eastAsia="fr-FR"/>
        </w:rPr>
        <w:t xml:space="preserve"> pour stimuler la croissance végétale.</w:t>
      </w:r>
    </w:p>
    <w:p w:rsidR="0024612B" w:rsidRPr="00200EA9" w:rsidRDefault="0024612B" w:rsidP="0024612B">
      <w:pPr>
        <w:spacing w:before="100" w:beforeAutospacing="1" w:after="100" w:afterAutospacing="1"/>
        <w:outlineLvl w:val="3"/>
        <w:rPr>
          <w:rFonts w:asciiTheme="majorBidi" w:eastAsia="Times New Roman" w:hAnsiTheme="majorBidi" w:cstheme="majorBidi"/>
          <w:b/>
          <w:bCs/>
          <w:sz w:val="24"/>
          <w:szCs w:val="24"/>
          <w:lang w:eastAsia="fr-FR"/>
        </w:rPr>
      </w:pPr>
      <w:r w:rsidRPr="00200EA9">
        <w:rPr>
          <w:rFonts w:asciiTheme="majorBidi" w:eastAsia="Times New Roman" w:hAnsiTheme="majorBidi" w:cstheme="majorBidi"/>
          <w:b/>
          <w:bCs/>
          <w:sz w:val="24"/>
          <w:szCs w:val="24"/>
          <w:lang w:eastAsia="fr-FR"/>
        </w:rPr>
        <w:t>I.3.2. Avantages de la Production de Biogaz</w:t>
      </w:r>
    </w:p>
    <w:p w:rsidR="0024612B" w:rsidRPr="00200EA9" w:rsidRDefault="0024612B" w:rsidP="0024612B">
      <w:p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sz w:val="24"/>
          <w:szCs w:val="24"/>
          <w:lang w:eastAsia="fr-FR"/>
        </w:rPr>
        <w:t>La production de biogaz présente plusieurs bénéfices :</w:t>
      </w:r>
    </w:p>
    <w:p w:rsidR="0024612B" w:rsidRPr="00200EA9" w:rsidRDefault="0024612B" w:rsidP="0024612B">
      <w:pPr>
        <w:numPr>
          <w:ilvl w:val="0"/>
          <w:numId w:val="6"/>
        </w:num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b/>
          <w:bCs/>
          <w:sz w:val="24"/>
          <w:szCs w:val="24"/>
          <w:lang w:eastAsia="fr-FR"/>
        </w:rPr>
        <w:t>Réduction des émissions de gaz à effet de serre</w:t>
      </w:r>
      <w:r w:rsidRPr="00200EA9">
        <w:rPr>
          <w:rFonts w:asciiTheme="majorBidi" w:eastAsia="Times New Roman" w:hAnsiTheme="majorBidi" w:cstheme="majorBidi"/>
          <w:sz w:val="24"/>
          <w:szCs w:val="24"/>
          <w:lang w:eastAsia="fr-FR"/>
        </w:rPr>
        <w:t> : en transformant les déchets organiques, le biogaz diminue l'empreinte carbone ;</w:t>
      </w:r>
    </w:p>
    <w:p w:rsidR="0024612B" w:rsidRPr="00200EA9" w:rsidRDefault="0024612B" w:rsidP="0024612B">
      <w:pPr>
        <w:numPr>
          <w:ilvl w:val="0"/>
          <w:numId w:val="6"/>
        </w:num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b/>
          <w:bCs/>
          <w:sz w:val="24"/>
          <w:szCs w:val="24"/>
          <w:lang w:eastAsia="fr-FR"/>
        </w:rPr>
        <w:t>Alternative aux énergies fossiles et nucléaires</w:t>
      </w:r>
      <w:r w:rsidRPr="00200EA9">
        <w:rPr>
          <w:rFonts w:asciiTheme="majorBidi" w:eastAsia="Times New Roman" w:hAnsiTheme="majorBidi" w:cstheme="majorBidi"/>
          <w:sz w:val="24"/>
          <w:szCs w:val="24"/>
          <w:lang w:eastAsia="fr-FR"/>
        </w:rPr>
        <w:t> : elle réduit la dépendance énergétique et peut générer des revenus pour les exploitants ;</w:t>
      </w:r>
    </w:p>
    <w:p w:rsidR="0024612B" w:rsidRPr="00200EA9" w:rsidRDefault="0024612B" w:rsidP="0024612B">
      <w:pPr>
        <w:numPr>
          <w:ilvl w:val="0"/>
          <w:numId w:val="6"/>
        </w:num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b/>
          <w:bCs/>
          <w:sz w:val="24"/>
          <w:szCs w:val="24"/>
          <w:lang w:eastAsia="fr-FR"/>
        </w:rPr>
        <w:t>Réduction de la charge en carbone des déchets</w:t>
      </w:r>
      <w:r w:rsidRPr="00200EA9">
        <w:rPr>
          <w:rFonts w:asciiTheme="majorBidi" w:eastAsia="Times New Roman" w:hAnsiTheme="majorBidi" w:cstheme="majorBidi"/>
          <w:sz w:val="24"/>
          <w:szCs w:val="24"/>
          <w:lang w:eastAsia="fr-FR"/>
        </w:rPr>
        <w:t> : elle contribue à la gestion durable des déchets organiques.</w:t>
      </w:r>
    </w:p>
    <w:p w:rsidR="0024612B" w:rsidRPr="00200EA9" w:rsidRDefault="0024612B" w:rsidP="0024612B">
      <w:pPr>
        <w:spacing w:before="100" w:beforeAutospacing="1" w:after="100" w:afterAutospacing="1"/>
        <w:outlineLvl w:val="3"/>
        <w:rPr>
          <w:rFonts w:asciiTheme="majorBidi" w:eastAsia="Times New Roman" w:hAnsiTheme="majorBidi" w:cstheme="majorBidi"/>
          <w:b/>
          <w:bCs/>
          <w:sz w:val="24"/>
          <w:szCs w:val="24"/>
          <w:lang w:eastAsia="fr-FR"/>
        </w:rPr>
      </w:pPr>
      <w:r w:rsidRPr="00200EA9">
        <w:rPr>
          <w:rFonts w:asciiTheme="majorBidi" w:eastAsia="Times New Roman" w:hAnsiTheme="majorBidi" w:cstheme="majorBidi"/>
          <w:b/>
          <w:bCs/>
          <w:sz w:val="24"/>
          <w:szCs w:val="24"/>
          <w:lang w:eastAsia="fr-FR"/>
        </w:rPr>
        <w:t>I.3.3. Étapes du Processus de Production de Biogaz</w:t>
      </w:r>
    </w:p>
    <w:p w:rsidR="0024612B" w:rsidRPr="00200EA9" w:rsidRDefault="0024612B" w:rsidP="0024612B">
      <w:p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sz w:val="24"/>
          <w:szCs w:val="24"/>
          <w:lang w:eastAsia="fr-FR"/>
        </w:rPr>
        <w:t xml:space="preserve">La production de biogaz s'effectue dans un digesteur anaérobie, où une série de réactions biologiques impliquent plusieurs populations bactériennes, réparties en quatre étapes majeures (voir </w:t>
      </w:r>
      <w:r>
        <w:rPr>
          <w:rFonts w:asciiTheme="majorBidi" w:eastAsia="Times New Roman" w:hAnsiTheme="majorBidi" w:cstheme="majorBidi"/>
          <w:sz w:val="24"/>
          <w:szCs w:val="24"/>
          <w:lang w:eastAsia="fr-FR"/>
        </w:rPr>
        <w:t>Fig.</w:t>
      </w:r>
      <w:r w:rsidRPr="00200EA9">
        <w:rPr>
          <w:rFonts w:asciiTheme="majorBidi" w:eastAsia="Times New Roman" w:hAnsiTheme="majorBidi" w:cstheme="majorBidi"/>
          <w:sz w:val="24"/>
          <w:szCs w:val="24"/>
          <w:lang w:eastAsia="fr-FR"/>
        </w:rPr>
        <w:t>) :</w:t>
      </w:r>
    </w:p>
    <w:p w:rsidR="0024612B" w:rsidRPr="00200EA9" w:rsidRDefault="0024612B" w:rsidP="0024612B">
      <w:pPr>
        <w:numPr>
          <w:ilvl w:val="0"/>
          <w:numId w:val="7"/>
        </w:num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b/>
          <w:bCs/>
          <w:sz w:val="24"/>
          <w:szCs w:val="24"/>
          <w:lang w:eastAsia="fr-FR"/>
        </w:rPr>
        <w:t>Hydrolyse</w:t>
      </w:r>
      <w:r w:rsidRPr="00200EA9">
        <w:rPr>
          <w:rFonts w:asciiTheme="majorBidi" w:eastAsia="Times New Roman" w:hAnsiTheme="majorBidi" w:cstheme="majorBidi"/>
          <w:sz w:val="24"/>
          <w:szCs w:val="24"/>
          <w:lang w:eastAsia="fr-FR"/>
        </w:rPr>
        <w:t xml:space="preserve"> : les polymères organiques présents dans la matière première (lipides, protéines, glucides) sont dégradés en molécules simples comme des acides gras, des sucres, et des acides aminés.</w:t>
      </w:r>
    </w:p>
    <w:p w:rsidR="0024612B" w:rsidRPr="00200EA9" w:rsidRDefault="0024612B" w:rsidP="0024612B">
      <w:pPr>
        <w:numPr>
          <w:ilvl w:val="0"/>
          <w:numId w:val="7"/>
        </w:num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b/>
          <w:bCs/>
          <w:sz w:val="24"/>
          <w:szCs w:val="24"/>
          <w:lang w:eastAsia="fr-FR"/>
        </w:rPr>
        <w:t>Acidogénèse</w:t>
      </w:r>
      <w:r w:rsidRPr="00200EA9">
        <w:rPr>
          <w:rFonts w:asciiTheme="majorBidi" w:eastAsia="Times New Roman" w:hAnsiTheme="majorBidi" w:cstheme="majorBidi"/>
          <w:sz w:val="24"/>
          <w:szCs w:val="24"/>
          <w:lang w:eastAsia="fr-FR"/>
        </w:rPr>
        <w:t xml:space="preserve"> : les monomères produits sont ensuite utilisés par des bactéries acidogènes pour former des composés intermédiaires, tels que des alcools et des acides organiques.</w:t>
      </w:r>
    </w:p>
    <w:p w:rsidR="0024612B" w:rsidRPr="00200EA9" w:rsidRDefault="0024612B" w:rsidP="0024612B">
      <w:pPr>
        <w:numPr>
          <w:ilvl w:val="0"/>
          <w:numId w:val="7"/>
        </w:num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b/>
          <w:bCs/>
          <w:sz w:val="24"/>
          <w:szCs w:val="24"/>
          <w:lang w:eastAsia="fr-FR"/>
        </w:rPr>
        <w:t>Acétogénèse</w:t>
      </w:r>
      <w:r w:rsidRPr="00200EA9">
        <w:rPr>
          <w:rFonts w:asciiTheme="majorBidi" w:eastAsia="Times New Roman" w:hAnsiTheme="majorBidi" w:cstheme="majorBidi"/>
          <w:sz w:val="24"/>
          <w:szCs w:val="24"/>
          <w:lang w:eastAsia="fr-FR"/>
        </w:rPr>
        <w:t xml:space="preserve"> : les composés intermédiaires sont convertis en acide acétique, hydrogène, et dioxyde de carbone.</w:t>
      </w:r>
    </w:p>
    <w:p w:rsidR="0024612B" w:rsidRPr="00200EA9" w:rsidRDefault="0024612B" w:rsidP="0024612B">
      <w:pPr>
        <w:numPr>
          <w:ilvl w:val="0"/>
          <w:numId w:val="7"/>
        </w:numPr>
        <w:spacing w:before="100" w:beforeAutospacing="1" w:after="100" w:afterAutospacing="1"/>
        <w:rPr>
          <w:rFonts w:asciiTheme="majorBidi" w:eastAsia="Times New Roman" w:hAnsiTheme="majorBidi" w:cstheme="majorBidi"/>
          <w:sz w:val="24"/>
          <w:szCs w:val="24"/>
          <w:lang w:eastAsia="fr-FR"/>
        </w:rPr>
      </w:pPr>
      <w:r w:rsidRPr="00200EA9">
        <w:rPr>
          <w:rFonts w:asciiTheme="majorBidi" w:eastAsia="Times New Roman" w:hAnsiTheme="majorBidi" w:cstheme="majorBidi"/>
          <w:b/>
          <w:bCs/>
          <w:sz w:val="24"/>
          <w:szCs w:val="24"/>
          <w:lang w:eastAsia="fr-FR"/>
        </w:rPr>
        <w:t>Méthanogénèse</w:t>
      </w:r>
      <w:r w:rsidRPr="00200EA9">
        <w:rPr>
          <w:rFonts w:asciiTheme="majorBidi" w:eastAsia="Times New Roman" w:hAnsiTheme="majorBidi" w:cstheme="majorBidi"/>
          <w:sz w:val="24"/>
          <w:szCs w:val="24"/>
          <w:lang w:eastAsia="fr-FR"/>
        </w:rPr>
        <w:t xml:space="preserve"> : dans cette étape finale, les méthanogènes transforment l'acide acétique et le CO</w:t>
      </w:r>
      <w:r w:rsidRPr="00200EA9">
        <w:rPr>
          <w:rFonts w:ascii="Cambria Math" w:eastAsia="Times New Roman" w:hAnsi="Cambria Math" w:cstheme="majorBidi"/>
          <w:sz w:val="24"/>
          <w:szCs w:val="24"/>
          <w:lang w:eastAsia="fr-FR"/>
        </w:rPr>
        <w:t>₂</w:t>
      </w:r>
      <w:r w:rsidRPr="00200EA9">
        <w:rPr>
          <w:rFonts w:asciiTheme="majorBidi" w:eastAsia="Times New Roman" w:hAnsiTheme="majorBidi" w:cstheme="majorBidi"/>
          <w:sz w:val="24"/>
          <w:szCs w:val="24"/>
          <w:lang w:eastAsia="fr-FR"/>
        </w:rPr>
        <w:t xml:space="preserve"> en méthane, constituant principal du biogaz.</w:t>
      </w:r>
    </w:p>
    <w:p w:rsidR="0024612B" w:rsidRPr="00200EA9" w:rsidRDefault="0024612B" w:rsidP="0024612B">
      <w:pPr>
        <w:rPr>
          <w:rFonts w:asciiTheme="majorBidi" w:hAnsiTheme="majorBidi" w:cstheme="majorBidi"/>
          <w:sz w:val="24"/>
          <w:szCs w:val="24"/>
        </w:rPr>
      </w:pPr>
    </w:p>
    <w:p w:rsidR="0024612B" w:rsidRPr="00200EA9" w:rsidRDefault="0024612B" w:rsidP="0024612B">
      <w:pPr>
        <w:rPr>
          <w:rFonts w:asciiTheme="majorBidi" w:hAnsiTheme="majorBidi" w:cstheme="majorBidi"/>
          <w:sz w:val="24"/>
          <w:szCs w:val="24"/>
        </w:rPr>
      </w:pPr>
    </w:p>
    <w:p w:rsidR="0024612B" w:rsidRPr="00200EA9" w:rsidRDefault="0024612B" w:rsidP="0024612B">
      <w:pPr>
        <w:rPr>
          <w:rFonts w:asciiTheme="majorBidi" w:hAnsiTheme="majorBidi" w:cstheme="majorBidi"/>
          <w:sz w:val="24"/>
          <w:szCs w:val="24"/>
        </w:rPr>
      </w:pPr>
    </w:p>
    <w:p w:rsidR="0024612B" w:rsidRPr="00200EA9" w:rsidRDefault="0024612B" w:rsidP="0024612B">
      <w:pPr>
        <w:rPr>
          <w:rFonts w:asciiTheme="majorBidi" w:hAnsiTheme="majorBidi" w:cstheme="majorBidi"/>
          <w:sz w:val="24"/>
          <w:szCs w:val="24"/>
        </w:rPr>
      </w:pPr>
      <w:r w:rsidRPr="00200EA9">
        <w:rPr>
          <w:rFonts w:asciiTheme="majorBidi" w:hAnsiTheme="majorBidi" w:cstheme="majorBidi"/>
          <w:noProof/>
          <w:sz w:val="24"/>
          <w:szCs w:val="24"/>
          <w:lang w:eastAsia="fr-FR"/>
        </w:rPr>
        <w:lastRenderedPageBreak/>
        <w:drawing>
          <wp:inline distT="0" distB="0" distL="0" distR="0">
            <wp:extent cx="5018405" cy="4635500"/>
            <wp:effectExtent l="1905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018405" cy="4635500"/>
                    </a:xfrm>
                    <a:prstGeom prst="rect">
                      <a:avLst/>
                    </a:prstGeom>
                    <a:noFill/>
                    <a:ln w="9525">
                      <a:noFill/>
                      <a:miter lim="800000"/>
                      <a:headEnd/>
                      <a:tailEnd/>
                    </a:ln>
                  </pic:spPr>
                </pic:pic>
              </a:graphicData>
            </a:graphic>
          </wp:inline>
        </w:drawing>
      </w:r>
    </w:p>
    <w:p w:rsidR="0024612B" w:rsidRPr="00200EA9" w:rsidRDefault="0024612B" w:rsidP="0024612B">
      <w:pPr>
        <w:rPr>
          <w:rFonts w:asciiTheme="majorBidi" w:hAnsiTheme="majorBidi" w:cstheme="majorBidi"/>
          <w:sz w:val="24"/>
          <w:szCs w:val="24"/>
        </w:rPr>
      </w:pPr>
    </w:p>
    <w:p w:rsidR="0024612B" w:rsidRPr="00200EA9" w:rsidRDefault="0024612B" w:rsidP="0024612B">
      <w:pPr>
        <w:autoSpaceDE w:val="0"/>
        <w:autoSpaceDN w:val="0"/>
        <w:adjustRightInd w:val="0"/>
        <w:spacing w:after="0"/>
        <w:rPr>
          <w:rFonts w:asciiTheme="majorBidi" w:hAnsiTheme="majorBidi" w:cstheme="majorBidi"/>
          <w:sz w:val="24"/>
          <w:szCs w:val="24"/>
        </w:rPr>
      </w:pPr>
      <w:r>
        <w:rPr>
          <w:rFonts w:asciiTheme="majorBidi" w:hAnsiTheme="majorBidi" w:cstheme="majorBidi"/>
          <w:b/>
          <w:bCs/>
          <w:sz w:val="24"/>
          <w:szCs w:val="24"/>
        </w:rPr>
        <w:t xml:space="preserve">Figure </w:t>
      </w:r>
      <w:r w:rsidRPr="00200EA9">
        <w:rPr>
          <w:rFonts w:asciiTheme="majorBidi" w:hAnsiTheme="majorBidi" w:cstheme="majorBidi"/>
          <w:b/>
          <w:bCs/>
          <w:sz w:val="24"/>
          <w:szCs w:val="24"/>
        </w:rPr>
        <w:t xml:space="preserve">: </w:t>
      </w:r>
      <w:r w:rsidRPr="00200EA9">
        <w:rPr>
          <w:rFonts w:asciiTheme="majorBidi" w:hAnsiTheme="majorBidi" w:cstheme="majorBidi"/>
          <w:sz w:val="24"/>
          <w:szCs w:val="24"/>
        </w:rPr>
        <w:t>Etapes du processus de production de biogaz</w:t>
      </w:r>
    </w:p>
    <w:p w:rsidR="0024612B" w:rsidRPr="00200EA9" w:rsidRDefault="0024612B" w:rsidP="0024612B">
      <w:pPr>
        <w:autoSpaceDE w:val="0"/>
        <w:autoSpaceDN w:val="0"/>
        <w:adjustRightInd w:val="0"/>
        <w:spacing w:after="0"/>
        <w:rPr>
          <w:rFonts w:asciiTheme="majorBidi" w:hAnsiTheme="majorBidi" w:cstheme="majorBidi"/>
          <w:sz w:val="24"/>
          <w:szCs w:val="24"/>
        </w:rPr>
      </w:pPr>
    </w:p>
    <w:p w:rsidR="0024612B" w:rsidRPr="00200EA9" w:rsidRDefault="0024612B" w:rsidP="0024612B">
      <w:pPr>
        <w:autoSpaceDE w:val="0"/>
        <w:autoSpaceDN w:val="0"/>
        <w:adjustRightInd w:val="0"/>
        <w:spacing w:after="0"/>
        <w:rPr>
          <w:rFonts w:asciiTheme="majorBidi" w:hAnsiTheme="majorBidi" w:cstheme="majorBidi"/>
          <w:sz w:val="24"/>
          <w:szCs w:val="24"/>
        </w:rPr>
      </w:pPr>
    </w:p>
    <w:p w:rsidR="0024612B" w:rsidRPr="00200EA9" w:rsidRDefault="0024612B" w:rsidP="0024612B">
      <w:pPr>
        <w:rPr>
          <w:rFonts w:asciiTheme="majorBidi" w:hAnsiTheme="majorBidi" w:cstheme="majorBidi"/>
          <w:sz w:val="24"/>
          <w:szCs w:val="24"/>
        </w:rPr>
      </w:pPr>
    </w:p>
    <w:p w:rsidR="0024612B" w:rsidRPr="00200EA9" w:rsidRDefault="0024612B" w:rsidP="0024612B">
      <w:pPr>
        <w:rPr>
          <w:rFonts w:asciiTheme="majorBidi" w:hAnsiTheme="majorBidi" w:cstheme="majorBidi"/>
          <w:sz w:val="24"/>
          <w:szCs w:val="24"/>
        </w:rPr>
      </w:pPr>
    </w:p>
    <w:p w:rsidR="0024612B" w:rsidRPr="00200EA9" w:rsidRDefault="0024612B" w:rsidP="0024612B">
      <w:pPr>
        <w:rPr>
          <w:rFonts w:asciiTheme="majorBidi" w:hAnsiTheme="majorBidi" w:cstheme="majorBidi"/>
          <w:sz w:val="24"/>
          <w:szCs w:val="24"/>
        </w:rPr>
      </w:pPr>
    </w:p>
    <w:p w:rsidR="0024612B" w:rsidRPr="00200EA9" w:rsidRDefault="0024612B" w:rsidP="0024612B">
      <w:pPr>
        <w:rPr>
          <w:rFonts w:asciiTheme="majorBidi" w:hAnsiTheme="majorBidi" w:cstheme="majorBidi"/>
          <w:sz w:val="24"/>
          <w:szCs w:val="24"/>
        </w:rPr>
      </w:pPr>
    </w:p>
    <w:p w:rsidR="0024612B" w:rsidRPr="00200EA9" w:rsidRDefault="0024612B" w:rsidP="0024612B">
      <w:pPr>
        <w:rPr>
          <w:rFonts w:asciiTheme="majorBidi" w:hAnsiTheme="majorBidi" w:cstheme="majorBidi"/>
          <w:sz w:val="24"/>
          <w:szCs w:val="24"/>
        </w:rPr>
      </w:pPr>
    </w:p>
    <w:p w:rsidR="0024612B" w:rsidRDefault="0024612B" w:rsidP="0024612B">
      <w:pPr>
        <w:rPr>
          <w:rFonts w:asciiTheme="majorBidi" w:hAnsiTheme="majorBidi" w:cstheme="majorBidi"/>
          <w:sz w:val="24"/>
          <w:szCs w:val="24"/>
        </w:rPr>
      </w:pPr>
    </w:p>
    <w:p w:rsidR="0024612B" w:rsidRDefault="0024612B" w:rsidP="0024612B">
      <w:pPr>
        <w:rPr>
          <w:rFonts w:asciiTheme="majorBidi" w:hAnsiTheme="majorBidi" w:cstheme="majorBidi"/>
          <w:sz w:val="24"/>
          <w:szCs w:val="24"/>
        </w:rPr>
      </w:pPr>
    </w:p>
    <w:p w:rsidR="0024612B" w:rsidRPr="00200EA9" w:rsidRDefault="0024612B" w:rsidP="0024612B">
      <w:pPr>
        <w:rPr>
          <w:rFonts w:asciiTheme="majorBidi" w:hAnsiTheme="majorBidi" w:cstheme="majorBidi"/>
          <w:sz w:val="24"/>
          <w:szCs w:val="24"/>
        </w:rPr>
      </w:pPr>
    </w:p>
    <w:p w:rsidR="0024612B" w:rsidRPr="00200EA9" w:rsidRDefault="0024612B" w:rsidP="0024612B">
      <w:pPr>
        <w:rPr>
          <w:rFonts w:asciiTheme="majorBidi" w:hAnsiTheme="majorBidi" w:cstheme="majorBidi"/>
          <w:sz w:val="24"/>
          <w:szCs w:val="24"/>
        </w:rPr>
      </w:pPr>
    </w:p>
    <w:p w:rsidR="0024612B" w:rsidRPr="00200EA9" w:rsidRDefault="0024612B" w:rsidP="0024612B">
      <w:pPr>
        <w:spacing w:before="100" w:beforeAutospacing="1" w:after="100" w:afterAutospacing="1"/>
        <w:outlineLvl w:val="2"/>
        <w:rPr>
          <w:rFonts w:asciiTheme="majorBidi" w:eastAsia="Times New Roman" w:hAnsiTheme="majorBidi" w:cstheme="majorBidi"/>
          <w:b/>
          <w:bCs/>
          <w:sz w:val="24"/>
          <w:szCs w:val="24"/>
          <w:lang w:eastAsia="fr-FR"/>
        </w:rPr>
      </w:pPr>
      <w:r w:rsidRPr="00200EA9">
        <w:rPr>
          <w:rFonts w:asciiTheme="majorBidi" w:eastAsia="Times New Roman" w:hAnsiTheme="majorBidi" w:cstheme="majorBidi"/>
          <w:b/>
          <w:bCs/>
          <w:sz w:val="24"/>
          <w:szCs w:val="24"/>
          <w:lang w:eastAsia="fr-FR"/>
        </w:rPr>
        <w:t>I.4. Production de Vaccins</w:t>
      </w:r>
    </w:p>
    <w:p w:rsidR="0024612B" w:rsidRPr="00200EA9" w:rsidRDefault="0024612B" w:rsidP="0024612B">
      <w:pPr>
        <w:spacing w:before="100" w:beforeAutospacing="1" w:after="100" w:afterAutospacing="1"/>
        <w:jc w:val="both"/>
        <w:rPr>
          <w:rFonts w:asciiTheme="majorBidi" w:eastAsia="Times New Roman" w:hAnsiTheme="majorBidi" w:cstheme="majorBidi"/>
          <w:sz w:val="24"/>
          <w:szCs w:val="24"/>
          <w:lang w:eastAsia="fr-FR"/>
        </w:rPr>
      </w:pPr>
      <w:r w:rsidRPr="00200EA9">
        <w:rPr>
          <w:rFonts w:asciiTheme="majorBidi" w:eastAsia="Times New Roman" w:hAnsiTheme="majorBidi" w:cstheme="majorBidi"/>
          <w:sz w:val="24"/>
          <w:szCs w:val="24"/>
          <w:lang w:eastAsia="fr-FR"/>
        </w:rPr>
        <w:t>Les vaccins sont des produits biologiques conçus pour induire une protection immunitaire contre des agents pathogènes spécifiques. Grâce aux avancées en biotechnologie, il est désormais possible de produire des antigènes génétiquement modifiés, offrant une alternative efficace et sécurisée aux antigènes issus directement de bactéries pathogènes ou de virus. Ces antigènes génétiquement modifiés présentent de nombreux avantages, notamment une meilleure sécurité et une efficacité accrue par rapport aux vaccins traditionnels à base de pathogènes atténués ou inactivés.</w:t>
      </w:r>
    </w:p>
    <w:p w:rsidR="0024612B" w:rsidRPr="00200EA9" w:rsidRDefault="0024612B" w:rsidP="0024612B">
      <w:pPr>
        <w:spacing w:before="100" w:beforeAutospacing="1" w:after="100" w:afterAutospacing="1"/>
        <w:jc w:val="both"/>
        <w:rPr>
          <w:rFonts w:asciiTheme="majorBidi" w:eastAsia="Times New Roman" w:hAnsiTheme="majorBidi" w:cstheme="majorBidi"/>
          <w:sz w:val="24"/>
          <w:szCs w:val="24"/>
          <w:lang w:eastAsia="fr-FR"/>
        </w:rPr>
      </w:pPr>
      <w:r w:rsidRPr="00200EA9">
        <w:rPr>
          <w:rFonts w:asciiTheme="majorBidi" w:eastAsia="Times New Roman" w:hAnsiTheme="majorBidi" w:cstheme="majorBidi"/>
          <w:sz w:val="24"/>
          <w:szCs w:val="24"/>
          <w:lang w:eastAsia="fr-FR"/>
        </w:rPr>
        <w:t>La conception d’un vaccin de haute qualité est un processus complexe qui peut nécessiter de 6 à 36 mois, incluant les phases de production, de conditionnement et de distribution aux populations ciblées. Historiquement, le premier vaccin contre l’hépatite B (causée par le virus HBV, ou Hepatitis B Virus) était élaboré à partir de prélèvements sanguins de personnes infectées. Dans ce processus, un fragment du virus, capable de déclencher une réponse immunitaire, était isolé et purifié avant d'être administré à des individus sains pour leur permettre de développer une immunité contre le virus.</w:t>
      </w:r>
    </w:p>
    <w:p w:rsidR="0024612B" w:rsidRPr="00200EA9" w:rsidRDefault="0024612B" w:rsidP="0024612B">
      <w:pPr>
        <w:spacing w:before="100" w:beforeAutospacing="1" w:after="100" w:afterAutospacing="1"/>
        <w:jc w:val="both"/>
        <w:rPr>
          <w:rFonts w:asciiTheme="majorBidi" w:eastAsia="Times New Roman" w:hAnsiTheme="majorBidi" w:cstheme="majorBidi"/>
          <w:sz w:val="24"/>
          <w:szCs w:val="24"/>
          <w:lang w:eastAsia="fr-FR"/>
        </w:rPr>
      </w:pPr>
      <w:r w:rsidRPr="00200EA9">
        <w:rPr>
          <w:rFonts w:asciiTheme="majorBidi" w:eastAsia="Times New Roman" w:hAnsiTheme="majorBidi" w:cstheme="majorBidi"/>
          <w:sz w:val="24"/>
          <w:szCs w:val="24"/>
          <w:lang w:eastAsia="fr-FR"/>
        </w:rPr>
        <w:t>Cependant, cette méthode comportait des risques, car malgré les étapes de purification, la présence accidentelle de virus infectieux complets dans le vaccin pouvait entraîner la transmission de la maladie elle-même aux personnes vaccinées. Pour pallier ces risques, l’approche a évolué, et aujourd’hui, on utilise des microorganismes génétiquement modifiés pour produire de manière sécurisée des fragments antigéniques sp</w:t>
      </w:r>
      <w:r>
        <w:rPr>
          <w:rFonts w:asciiTheme="majorBidi" w:eastAsia="Times New Roman" w:hAnsiTheme="majorBidi" w:cstheme="majorBidi"/>
          <w:sz w:val="24"/>
          <w:szCs w:val="24"/>
          <w:lang w:eastAsia="fr-FR"/>
        </w:rPr>
        <w:t>écifiques du virus (voir Fig.</w:t>
      </w:r>
      <w:r w:rsidRPr="00200EA9">
        <w:rPr>
          <w:rFonts w:asciiTheme="majorBidi" w:eastAsia="Times New Roman" w:hAnsiTheme="majorBidi" w:cstheme="majorBidi"/>
          <w:sz w:val="24"/>
          <w:szCs w:val="24"/>
          <w:lang w:eastAsia="fr-FR"/>
        </w:rPr>
        <w:t>). Ces antigènes sont ensuite intégrés aux vaccins pour stimuler le système immunitaire et prévenir des infections, telles que celle provoquée par le virus de l’hépatite B.</w:t>
      </w:r>
    </w:p>
    <w:p w:rsidR="0024612B" w:rsidRPr="00200EA9" w:rsidRDefault="0024612B" w:rsidP="0024612B">
      <w:pPr>
        <w:spacing w:before="100" w:beforeAutospacing="1" w:after="100" w:afterAutospacing="1"/>
        <w:jc w:val="both"/>
        <w:rPr>
          <w:rFonts w:asciiTheme="majorBidi" w:eastAsia="Times New Roman" w:hAnsiTheme="majorBidi" w:cstheme="majorBidi"/>
          <w:sz w:val="24"/>
          <w:szCs w:val="24"/>
          <w:lang w:eastAsia="fr-FR"/>
        </w:rPr>
      </w:pPr>
      <w:r w:rsidRPr="00200EA9">
        <w:rPr>
          <w:rFonts w:asciiTheme="majorBidi" w:eastAsia="Times New Roman" w:hAnsiTheme="majorBidi" w:cstheme="majorBidi"/>
          <w:sz w:val="24"/>
          <w:szCs w:val="24"/>
          <w:lang w:eastAsia="fr-FR"/>
        </w:rPr>
        <w:t>Cette technologie innovante permet non seulement d’améliorer la sécurité des vaccins, mais elle ouvre également la voie à la création de vaccins plus efficaces contre divers agents infectieux, en tirant parti de la biotechnologie pour répondre aux besoins de santé publique.</w:t>
      </w:r>
    </w:p>
    <w:p w:rsidR="0024612B" w:rsidRPr="00200EA9" w:rsidRDefault="0024612B" w:rsidP="0024612B">
      <w:pPr>
        <w:spacing w:after="0"/>
        <w:rPr>
          <w:rFonts w:asciiTheme="majorBidi" w:eastAsia="Times New Roman" w:hAnsiTheme="majorBidi" w:cstheme="majorBidi"/>
          <w:sz w:val="24"/>
          <w:szCs w:val="24"/>
          <w:lang w:eastAsia="fr-FR"/>
        </w:rPr>
      </w:pPr>
    </w:p>
    <w:p w:rsidR="0024612B" w:rsidRPr="00200EA9" w:rsidRDefault="0024612B" w:rsidP="0024612B">
      <w:pPr>
        <w:rPr>
          <w:rFonts w:asciiTheme="majorBidi" w:hAnsiTheme="majorBidi" w:cstheme="majorBidi"/>
          <w:sz w:val="24"/>
          <w:szCs w:val="24"/>
        </w:rPr>
      </w:pPr>
    </w:p>
    <w:p w:rsidR="0024612B" w:rsidRPr="00200EA9" w:rsidRDefault="0024612B" w:rsidP="0024612B">
      <w:pPr>
        <w:rPr>
          <w:rFonts w:asciiTheme="majorBidi" w:hAnsiTheme="majorBidi" w:cstheme="majorBidi"/>
          <w:sz w:val="24"/>
          <w:szCs w:val="24"/>
        </w:rPr>
      </w:pPr>
      <w:r w:rsidRPr="00200EA9">
        <w:rPr>
          <w:rFonts w:asciiTheme="majorBidi" w:hAnsiTheme="majorBidi" w:cstheme="majorBidi"/>
          <w:noProof/>
          <w:sz w:val="24"/>
          <w:szCs w:val="24"/>
          <w:lang w:eastAsia="fr-FR"/>
        </w:rPr>
        <w:lastRenderedPageBreak/>
        <w:drawing>
          <wp:inline distT="0" distB="0" distL="0" distR="0">
            <wp:extent cx="6612711" cy="3269193"/>
            <wp:effectExtent l="19050" t="0" r="0"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6628818" cy="3277156"/>
                    </a:xfrm>
                    <a:prstGeom prst="rect">
                      <a:avLst/>
                    </a:prstGeom>
                    <a:noFill/>
                    <a:ln w="9525">
                      <a:noFill/>
                      <a:miter lim="800000"/>
                      <a:headEnd/>
                      <a:tailEnd/>
                    </a:ln>
                  </pic:spPr>
                </pic:pic>
              </a:graphicData>
            </a:graphic>
          </wp:inline>
        </w:drawing>
      </w:r>
    </w:p>
    <w:p w:rsidR="0024612B" w:rsidRPr="00200EA9" w:rsidRDefault="0024612B" w:rsidP="0024612B">
      <w:pPr>
        <w:rPr>
          <w:rFonts w:asciiTheme="majorBidi" w:hAnsiTheme="majorBidi" w:cstheme="majorBidi"/>
          <w:sz w:val="24"/>
          <w:szCs w:val="24"/>
        </w:rPr>
      </w:pPr>
    </w:p>
    <w:p w:rsidR="0024612B" w:rsidRPr="00200EA9" w:rsidRDefault="0024612B" w:rsidP="0024612B">
      <w:pPr>
        <w:autoSpaceDE w:val="0"/>
        <w:autoSpaceDN w:val="0"/>
        <w:adjustRightInd w:val="0"/>
        <w:spacing w:after="0"/>
        <w:rPr>
          <w:rFonts w:asciiTheme="majorBidi" w:hAnsiTheme="majorBidi" w:cstheme="majorBidi"/>
          <w:sz w:val="24"/>
          <w:szCs w:val="24"/>
        </w:rPr>
      </w:pPr>
      <w:r>
        <w:rPr>
          <w:rFonts w:asciiTheme="majorBidi" w:hAnsiTheme="majorBidi" w:cstheme="majorBidi"/>
          <w:b/>
          <w:bCs/>
          <w:sz w:val="24"/>
          <w:szCs w:val="24"/>
        </w:rPr>
        <w:t xml:space="preserve">Figure </w:t>
      </w:r>
      <w:r w:rsidRPr="00200EA9">
        <w:rPr>
          <w:rFonts w:asciiTheme="majorBidi" w:hAnsiTheme="majorBidi" w:cstheme="majorBidi"/>
          <w:b/>
          <w:bCs/>
          <w:sz w:val="24"/>
          <w:szCs w:val="24"/>
        </w:rPr>
        <w:t xml:space="preserve">: </w:t>
      </w:r>
      <w:r w:rsidRPr="00200EA9">
        <w:rPr>
          <w:rFonts w:asciiTheme="majorBidi" w:hAnsiTheme="majorBidi" w:cstheme="majorBidi"/>
          <w:sz w:val="24"/>
          <w:szCs w:val="24"/>
        </w:rPr>
        <w:t>Production du vaccin anti-HBV par un plasmide recombiné</w:t>
      </w:r>
    </w:p>
    <w:p w:rsidR="0024612B" w:rsidRDefault="0024612B" w:rsidP="0024612B">
      <w:pPr>
        <w:autoSpaceDE w:val="0"/>
        <w:autoSpaceDN w:val="0"/>
        <w:adjustRightInd w:val="0"/>
        <w:spacing w:after="0"/>
        <w:rPr>
          <w:rFonts w:asciiTheme="majorBidi" w:hAnsiTheme="majorBidi" w:cstheme="majorBidi"/>
          <w:sz w:val="24"/>
          <w:szCs w:val="24"/>
        </w:rPr>
      </w:pPr>
    </w:p>
    <w:p w:rsidR="0024612B" w:rsidRDefault="0024612B" w:rsidP="0024612B">
      <w:pPr>
        <w:autoSpaceDE w:val="0"/>
        <w:autoSpaceDN w:val="0"/>
        <w:adjustRightInd w:val="0"/>
        <w:spacing w:after="0"/>
        <w:rPr>
          <w:rFonts w:asciiTheme="majorBidi" w:hAnsiTheme="majorBidi" w:cstheme="majorBidi"/>
          <w:sz w:val="24"/>
          <w:szCs w:val="24"/>
        </w:rPr>
      </w:pPr>
    </w:p>
    <w:p w:rsidR="0024612B" w:rsidRDefault="0024612B" w:rsidP="0024612B">
      <w:pPr>
        <w:autoSpaceDE w:val="0"/>
        <w:autoSpaceDN w:val="0"/>
        <w:adjustRightInd w:val="0"/>
        <w:spacing w:after="0"/>
        <w:rPr>
          <w:rFonts w:asciiTheme="majorBidi" w:hAnsiTheme="majorBidi" w:cstheme="majorBidi"/>
          <w:sz w:val="24"/>
          <w:szCs w:val="24"/>
        </w:rPr>
      </w:pPr>
    </w:p>
    <w:p w:rsidR="0024612B" w:rsidRDefault="0024612B" w:rsidP="0024612B">
      <w:pPr>
        <w:pStyle w:val="Titre2"/>
        <w:rPr>
          <w:rFonts w:asciiTheme="majorBidi" w:hAnsiTheme="majorBidi"/>
          <w:color w:val="0D0D0D" w:themeColor="text1" w:themeTint="F2"/>
        </w:rPr>
      </w:pPr>
      <w:r>
        <w:rPr>
          <w:rFonts w:asciiTheme="majorBidi" w:hAnsiTheme="majorBidi"/>
          <w:color w:val="0D0D0D" w:themeColor="text1" w:themeTint="F2"/>
        </w:rPr>
        <w:t>Rappel sur les plasmides et la sélection des recombinants</w:t>
      </w:r>
    </w:p>
    <w:p w:rsidR="0024612B" w:rsidRPr="00BC4928" w:rsidRDefault="0024612B" w:rsidP="0024612B">
      <w:pPr>
        <w:pStyle w:val="Titre2"/>
        <w:rPr>
          <w:rFonts w:asciiTheme="majorBidi" w:hAnsiTheme="majorBidi"/>
          <w:color w:val="0D0D0D" w:themeColor="text1" w:themeTint="F2"/>
        </w:rPr>
      </w:pPr>
      <w:bookmarkStart w:id="0" w:name="_Toc97383192"/>
      <w:r w:rsidRPr="00BC4928">
        <w:rPr>
          <w:rFonts w:asciiTheme="majorBidi" w:hAnsiTheme="majorBidi"/>
          <w:color w:val="0D0D0D" w:themeColor="text1" w:themeTint="F2"/>
        </w:rPr>
        <w:t>a- Caractéristiques des plasmides utilisés en génie génétique</w:t>
      </w:r>
      <w:bookmarkEnd w:id="0"/>
    </w:p>
    <w:p w:rsidR="0024612B" w:rsidRPr="00BC4928" w:rsidRDefault="0024612B" w:rsidP="0024612B">
      <w:pPr>
        <w:autoSpaceDE w:val="0"/>
        <w:autoSpaceDN w:val="0"/>
        <w:adjustRightInd w:val="0"/>
        <w:spacing w:after="0"/>
        <w:jc w:val="both"/>
        <w:rPr>
          <w:rFonts w:asciiTheme="majorBidi" w:hAnsiTheme="majorBidi" w:cstheme="majorBidi"/>
          <w:sz w:val="24"/>
          <w:szCs w:val="24"/>
        </w:rPr>
      </w:pPr>
      <w:r w:rsidRPr="00BC4928">
        <w:rPr>
          <w:rFonts w:asciiTheme="majorBidi" w:hAnsiTheme="majorBidi" w:cstheme="majorBidi"/>
          <w:sz w:val="24"/>
          <w:szCs w:val="24"/>
        </w:rPr>
        <w:t xml:space="preserve">La cellule hôte la plus utilisée est </w:t>
      </w:r>
      <w:r w:rsidRPr="00BC4928">
        <w:rPr>
          <w:rFonts w:asciiTheme="majorBidi" w:hAnsiTheme="majorBidi" w:cstheme="majorBidi"/>
          <w:i/>
          <w:iCs/>
          <w:sz w:val="24"/>
          <w:szCs w:val="24"/>
        </w:rPr>
        <w:t>Escherichia coli</w:t>
      </w:r>
      <w:r w:rsidRPr="00BC4928">
        <w:rPr>
          <w:rFonts w:asciiTheme="majorBidi" w:hAnsiTheme="majorBidi" w:cstheme="majorBidi"/>
          <w:sz w:val="24"/>
          <w:szCs w:val="24"/>
        </w:rPr>
        <w:t xml:space="preserve">. Les plasmides naturels dits de première génération ont été utilisés dans le passé comme vecteur de clonage, mais les plasmides utilisés actuellement sont modifiés et sont donc des </w:t>
      </w:r>
      <w:r w:rsidRPr="00BC4928">
        <w:rPr>
          <w:rFonts w:asciiTheme="majorBidi" w:hAnsiTheme="majorBidi" w:cstheme="majorBidi"/>
          <w:b/>
          <w:bCs/>
          <w:sz w:val="24"/>
          <w:szCs w:val="24"/>
        </w:rPr>
        <w:t xml:space="preserve">chimères </w:t>
      </w:r>
      <w:r w:rsidRPr="00BC4928">
        <w:rPr>
          <w:rFonts w:asciiTheme="majorBidi" w:hAnsiTheme="majorBidi" w:cstheme="majorBidi"/>
          <w:sz w:val="24"/>
          <w:szCs w:val="24"/>
        </w:rPr>
        <w:t xml:space="preserve">obtenues par des recombinaisons de différents plasmides naturels et de DNA viral. Ils sont petits de taille pour permettre l'insertion d'une importante quantité d'ADN exogène tout en maintenant une bonne efficacité de transformation. </w:t>
      </w:r>
    </w:p>
    <w:p w:rsidR="0024612B" w:rsidRDefault="0024612B" w:rsidP="0024612B">
      <w:pPr>
        <w:autoSpaceDE w:val="0"/>
        <w:autoSpaceDN w:val="0"/>
        <w:adjustRightInd w:val="0"/>
        <w:spacing w:after="0"/>
        <w:jc w:val="both"/>
        <w:rPr>
          <w:rFonts w:asciiTheme="majorBidi" w:hAnsiTheme="majorBidi" w:cstheme="majorBidi"/>
          <w:sz w:val="24"/>
          <w:szCs w:val="24"/>
        </w:rPr>
      </w:pPr>
    </w:p>
    <w:p w:rsidR="0024612B" w:rsidRPr="00BC4928" w:rsidRDefault="0024612B" w:rsidP="0024612B">
      <w:pPr>
        <w:autoSpaceDE w:val="0"/>
        <w:autoSpaceDN w:val="0"/>
        <w:adjustRightInd w:val="0"/>
        <w:spacing w:after="0"/>
        <w:jc w:val="both"/>
        <w:rPr>
          <w:rFonts w:asciiTheme="majorBidi" w:hAnsiTheme="majorBidi" w:cstheme="majorBidi"/>
          <w:sz w:val="24"/>
          <w:szCs w:val="24"/>
        </w:rPr>
      </w:pPr>
    </w:p>
    <w:p w:rsidR="0024612B" w:rsidRPr="00BC4928" w:rsidRDefault="0024612B" w:rsidP="0024612B">
      <w:pPr>
        <w:autoSpaceDE w:val="0"/>
        <w:autoSpaceDN w:val="0"/>
        <w:adjustRightInd w:val="0"/>
        <w:spacing w:after="0"/>
        <w:jc w:val="both"/>
        <w:rPr>
          <w:rFonts w:asciiTheme="majorBidi" w:hAnsiTheme="majorBidi" w:cstheme="majorBidi"/>
          <w:sz w:val="24"/>
          <w:szCs w:val="24"/>
        </w:rPr>
      </w:pPr>
      <w:r w:rsidRPr="00BC4928">
        <w:rPr>
          <w:rFonts w:asciiTheme="majorBidi" w:hAnsiTheme="majorBidi" w:cstheme="majorBidi"/>
          <w:sz w:val="24"/>
          <w:szCs w:val="24"/>
        </w:rPr>
        <w:t>Ils possèdent :</w:t>
      </w:r>
    </w:p>
    <w:p w:rsidR="0024612B" w:rsidRPr="00BC4928" w:rsidRDefault="0024612B" w:rsidP="0024612B">
      <w:pPr>
        <w:numPr>
          <w:ilvl w:val="0"/>
          <w:numId w:val="8"/>
        </w:numPr>
        <w:autoSpaceDE w:val="0"/>
        <w:autoSpaceDN w:val="0"/>
        <w:adjustRightInd w:val="0"/>
        <w:spacing w:after="0"/>
        <w:jc w:val="both"/>
        <w:rPr>
          <w:rFonts w:asciiTheme="majorBidi" w:hAnsiTheme="majorBidi" w:cstheme="majorBidi"/>
          <w:sz w:val="24"/>
          <w:szCs w:val="24"/>
        </w:rPr>
      </w:pPr>
      <w:r w:rsidRPr="00BC4928">
        <w:rPr>
          <w:rFonts w:asciiTheme="majorBidi" w:hAnsiTheme="majorBidi" w:cstheme="majorBidi"/>
          <w:sz w:val="24"/>
          <w:szCs w:val="24"/>
        </w:rPr>
        <w:t xml:space="preserve">Une origine de réplication de type relâché : la séquence </w:t>
      </w:r>
      <w:r w:rsidRPr="00BC4928">
        <w:rPr>
          <w:rFonts w:asciiTheme="majorBidi" w:hAnsiTheme="majorBidi" w:cstheme="majorBidi"/>
          <w:b/>
          <w:bCs/>
          <w:i/>
          <w:iCs/>
          <w:sz w:val="24"/>
          <w:szCs w:val="24"/>
        </w:rPr>
        <w:t>ori</w:t>
      </w:r>
      <w:r w:rsidRPr="00BC4928">
        <w:rPr>
          <w:rFonts w:asciiTheme="majorBidi" w:hAnsiTheme="majorBidi" w:cstheme="majorBidi"/>
          <w:b/>
          <w:bCs/>
          <w:sz w:val="24"/>
          <w:szCs w:val="24"/>
        </w:rPr>
        <w:t xml:space="preserve">. </w:t>
      </w:r>
    </w:p>
    <w:p w:rsidR="0024612B" w:rsidRPr="00BC4928" w:rsidRDefault="0024612B" w:rsidP="0024612B">
      <w:pPr>
        <w:numPr>
          <w:ilvl w:val="0"/>
          <w:numId w:val="8"/>
        </w:numPr>
        <w:autoSpaceDE w:val="0"/>
        <w:autoSpaceDN w:val="0"/>
        <w:adjustRightInd w:val="0"/>
        <w:spacing w:after="0"/>
        <w:jc w:val="both"/>
        <w:rPr>
          <w:rFonts w:asciiTheme="majorBidi" w:hAnsiTheme="majorBidi" w:cstheme="majorBidi"/>
          <w:sz w:val="24"/>
          <w:szCs w:val="24"/>
        </w:rPr>
      </w:pPr>
      <w:r w:rsidRPr="00BC4928">
        <w:rPr>
          <w:rFonts w:asciiTheme="majorBidi" w:hAnsiTheme="majorBidi" w:cstheme="majorBidi"/>
          <w:sz w:val="24"/>
          <w:szCs w:val="24"/>
        </w:rPr>
        <w:t>Un gène de résistance à un antibiotique auquel la souche hôte est sensible, ce qui permet la sélection des cellules résistantes qui survivent sur un milieu contenant l’antibiotique en question.</w:t>
      </w:r>
    </w:p>
    <w:p w:rsidR="0024612B" w:rsidRPr="00BC4928" w:rsidRDefault="0024612B" w:rsidP="0024612B">
      <w:pPr>
        <w:numPr>
          <w:ilvl w:val="0"/>
          <w:numId w:val="8"/>
        </w:numPr>
        <w:autoSpaceDE w:val="0"/>
        <w:autoSpaceDN w:val="0"/>
        <w:adjustRightInd w:val="0"/>
        <w:spacing w:after="0"/>
        <w:jc w:val="both"/>
        <w:rPr>
          <w:rFonts w:asciiTheme="majorBidi" w:hAnsiTheme="majorBidi" w:cstheme="majorBidi"/>
          <w:sz w:val="24"/>
          <w:szCs w:val="24"/>
        </w:rPr>
      </w:pPr>
      <w:r w:rsidRPr="00BC4928">
        <w:rPr>
          <w:rFonts w:asciiTheme="majorBidi" w:hAnsiTheme="majorBidi" w:cstheme="majorBidi"/>
          <w:sz w:val="24"/>
          <w:szCs w:val="24"/>
        </w:rPr>
        <w:lastRenderedPageBreak/>
        <w:t>Un second gène marqueur phénotypique (soit un deuxième gène de résistance à un second antibiotique ou le gène Lac Z qui permet de reconnaître parmi les colonies transformées celles qui hébergent un plasmide recombinant.</w:t>
      </w:r>
    </w:p>
    <w:p w:rsidR="0024612B" w:rsidRPr="00BC4928" w:rsidRDefault="0024612B" w:rsidP="0024612B">
      <w:pPr>
        <w:numPr>
          <w:ilvl w:val="0"/>
          <w:numId w:val="8"/>
        </w:numPr>
        <w:autoSpaceDE w:val="0"/>
        <w:autoSpaceDN w:val="0"/>
        <w:adjustRightInd w:val="0"/>
        <w:spacing w:after="0"/>
        <w:jc w:val="both"/>
        <w:rPr>
          <w:rFonts w:asciiTheme="majorBidi" w:hAnsiTheme="majorBidi" w:cstheme="majorBidi"/>
          <w:b/>
          <w:bCs/>
        </w:rPr>
      </w:pPr>
      <w:r w:rsidRPr="00BC4928">
        <w:rPr>
          <w:rFonts w:asciiTheme="majorBidi" w:hAnsiTheme="majorBidi" w:cstheme="majorBidi"/>
          <w:sz w:val="24"/>
          <w:szCs w:val="24"/>
        </w:rPr>
        <w:t xml:space="preserve">Un ou plusieurs sites de restriction </w:t>
      </w:r>
      <w:r w:rsidRPr="00BC4928">
        <w:rPr>
          <w:rFonts w:asciiTheme="majorBidi" w:hAnsiTheme="majorBidi" w:cstheme="majorBidi"/>
          <w:b/>
          <w:bCs/>
          <w:sz w:val="24"/>
          <w:szCs w:val="24"/>
        </w:rPr>
        <w:t xml:space="preserve">(polylinker) </w:t>
      </w:r>
      <w:r w:rsidRPr="00BC4928">
        <w:rPr>
          <w:rFonts w:asciiTheme="majorBidi" w:hAnsiTheme="majorBidi" w:cstheme="majorBidi"/>
          <w:sz w:val="24"/>
          <w:szCs w:val="24"/>
        </w:rPr>
        <w:t>qui permettent la linéarisation du plasmide préalable à l'insertion de l'ADN exogène.</w:t>
      </w:r>
    </w:p>
    <w:p w:rsidR="0024612B" w:rsidRPr="00BC4928" w:rsidRDefault="0024612B" w:rsidP="0024612B">
      <w:pPr>
        <w:autoSpaceDE w:val="0"/>
        <w:autoSpaceDN w:val="0"/>
        <w:adjustRightInd w:val="0"/>
        <w:spacing w:after="0"/>
        <w:jc w:val="both"/>
        <w:rPr>
          <w:rFonts w:asciiTheme="majorBidi" w:hAnsiTheme="majorBidi" w:cstheme="majorBidi"/>
          <w:sz w:val="24"/>
          <w:szCs w:val="24"/>
        </w:rPr>
      </w:pPr>
    </w:p>
    <w:p w:rsidR="0024612B" w:rsidRPr="00BC4928" w:rsidRDefault="0024612B" w:rsidP="0024612B">
      <w:pPr>
        <w:autoSpaceDE w:val="0"/>
        <w:autoSpaceDN w:val="0"/>
        <w:adjustRightInd w:val="0"/>
        <w:spacing w:after="0"/>
        <w:jc w:val="both"/>
        <w:rPr>
          <w:rFonts w:asciiTheme="majorBidi" w:hAnsiTheme="majorBidi" w:cstheme="majorBidi"/>
          <w:b/>
          <w:bCs/>
          <w:sz w:val="24"/>
          <w:szCs w:val="24"/>
        </w:rPr>
      </w:pPr>
      <w:r w:rsidRPr="00BC4928">
        <w:rPr>
          <w:rFonts w:asciiTheme="majorBidi" w:hAnsiTheme="majorBidi" w:cstheme="majorBidi"/>
          <w:b/>
          <w:bCs/>
          <w:sz w:val="24"/>
          <w:szCs w:val="24"/>
        </w:rPr>
        <w:t>Exemple 1:</w:t>
      </w:r>
      <w:r w:rsidRPr="00BC4928">
        <w:rPr>
          <w:rFonts w:asciiTheme="majorBidi" w:hAnsiTheme="majorBidi" w:cstheme="majorBidi"/>
          <w:sz w:val="24"/>
          <w:szCs w:val="24"/>
        </w:rPr>
        <w:t xml:space="preserve"> </w:t>
      </w:r>
      <w:r w:rsidRPr="00BC4928">
        <w:rPr>
          <w:rFonts w:asciiTheme="majorBidi" w:hAnsiTheme="majorBidi" w:cstheme="majorBidi"/>
          <w:b/>
          <w:bCs/>
          <w:sz w:val="24"/>
          <w:szCs w:val="24"/>
        </w:rPr>
        <w:t>Le plasmide pBR322</w:t>
      </w:r>
    </w:p>
    <w:p w:rsidR="0024612B" w:rsidRPr="00BC4928" w:rsidRDefault="0024612B" w:rsidP="0024612B">
      <w:pPr>
        <w:autoSpaceDE w:val="0"/>
        <w:autoSpaceDN w:val="0"/>
        <w:adjustRightInd w:val="0"/>
        <w:spacing w:after="0"/>
        <w:jc w:val="both"/>
        <w:rPr>
          <w:rFonts w:asciiTheme="majorBidi" w:hAnsiTheme="majorBidi" w:cstheme="majorBidi"/>
          <w:b/>
          <w:bCs/>
          <w:sz w:val="24"/>
          <w:szCs w:val="24"/>
        </w:rPr>
      </w:pPr>
    </w:p>
    <w:p w:rsidR="0024612B" w:rsidRPr="00BC4928" w:rsidRDefault="0024612B" w:rsidP="0024612B">
      <w:pPr>
        <w:autoSpaceDE w:val="0"/>
        <w:autoSpaceDN w:val="0"/>
        <w:adjustRightInd w:val="0"/>
        <w:spacing w:after="0"/>
        <w:jc w:val="both"/>
        <w:rPr>
          <w:rFonts w:asciiTheme="majorBidi" w:hAnsiTheme="majorBidi" w:cstheme="majorBidi"/>
          <w:sz w:val="24"/>
          <w:szCs w:val="24"/>
        </w:rPr>
      </w:pPr>
      <w:r w:rsidRPr="00BC4928">
        <w:rPr>
          <w:rFonts w:asciiTheme="majorBidi" w:hAnsiTheme="majorBidi" w:cstheme="majorBidi"/>
          <w:sz w:val="24"/>
          <w:szCs w:val="24"/>
        </w:rPr>
        <w:t xml:space="preserve"> Le plasmide pBR322  est très simple dans sa structure. Il contient 2 gènes de résistance aux antibiotiques, tetR et ampR (Figure 66). Chacun de ces gènes contient un site de restriction qui est utilisé pour le clonage. L'ADN du donneur peut être, par exemple, inséré dans le gène tetR. Une insertion réussie se traduira par l'inactivation de ce gène qui ne sera plus capable de conférer la résistance à la tétracycline à la cellule hôte. Cette préparation est alors utilisée pour transformer les bactéries et sélectionner les colonies résistantes à l'ampicilline. Ces dernières doivent avoir été transformées avec succès par une molécule de plasmide recombinante.</w:t>
      </w:r>
    </w:p>
    <w:p w:rsidR="0024612B" w:rsidRPr="00BC4928" w:rsidRDefault="0024612B" w:rsidP="0024612B">
      <w:pPr>
        <w:autoSpaceDE w:val="0"/>
        <w:autoSpaceDN w:val="0"/>
        <w:adjustRightInd w:val="0"/>
        <w:spacing w:after="0"/>
        <w:jc w:val="both"/>
        <w:rPr>
          <w:rFonts w:asciiTheme="majorBidi" w:hAnsiTheme="majorBidi" w:cstheme="majorBidi"/>
          <w:sz w:val="24"/>
          <w:szCs w:val="24"/>
        </w:rPr>
      </w:pPr>
      <w:r w:rsidRPr="00BC4928">
        <w:rPr>
          <w:rFonts w:asciiTheme="majorBidi" w:hAnsiTheme="majorBidi" w:cstheme="majorBidi"/>
          <w:sz w:val="24"/>
          <w:szCs w:val="24"/>
        </w:rPr>
        <w:t>Parmi les colonies AmpR, seules celles qui s'avèrent sensibles à la tétracycline contiennent une insertion, en d'autres termes, seules les colonies ampR tetS contiennent de l'ADN recombinant (ADN du plasmide et ADN inséré). L’insertion de l’ADN étranger dans pBR322 est détectée par l’inactivation du gène de résistance (tetR), indiqué par le phénotype tetS (sensible) (Figure 67).</w:t>
      </w:r>
    </w:p>
    <w:p w:rsidR="0024612B" w:rsidRPr="00BC4928" w:rsidRDefault="0024612B" w:rsidP="0024612B">
      <w:pPr>
        <w:autoSpaceDE w:val="0"/>
        <w:autoSpaceDN w:val="0"/>
        <w:adjustRightInd w:val="0"/>
        <w:spacing w:after="0"/>
        <w:jc w:val="both"/>
        <w:rPr>
          <w:rFonts w:asciiTheme="majorBidi" w:hAnsiTheme="majorBidi" w:cstheme="majorBidi"/>
          <w:sz w:val="24"/>
          <w:szCs w:val="24"/>
        </w:rPr>
      </w:pPr>
    </w:p>
    <w:p w:rsidR="0024612B" w:rsidRPr="00BC4928" w:rsidRDefault="0024612B" w:rsidP="0024612B">
      <w:pPr>
        <w:autoSpaceDE w:val="0"/>
        <w:autoSpaceDN w:val="0"/>
        <w:adjustRightInd w:val="0"/>
        <w:spacing w:after="0"/>
        <w:jc w:val="both"/>
        <w:rPr>
          <w:rFonts w:asciiTheme="majorBidi" w:hAnsiTheme="majorBidi" w:cstheme="majorBidi"/>
          <w:sz w:val="24"/>
          <w:szCs w:val="24"/>
        </w:rPr>
      </w:pPr>
    </w:p>
    <w:p w:rsidR="0024612B" w:rsidRPr="00BC4928" w:rsidRDefault="0024612B" w:rsidP="0024612B">
      <w:pPr>
        <w:autoSpaceDE w:val="0"/>
        <w:autoSpaceDN w:val="0"/>
        <w:adjustRightInd w:val="0"/>
        <w:spacing w:after="0"/>
        <w:jc w:val="both"/>
        <w:rPr>
          <w:rFonts w:asciiTheme="majorBidi" w:hAnsiTheme="majorBidi" w:cstheme="majorBidi"/>
          <w:sz w:val="24"/>
          <w:szCs w:val="24"/>
        </w:rPr>
      </w:pPr>
    </w:p>
    <w:p w:rsidR="0024612B" w:rsidRPr="00BC4928" w:rsidRDefault="0024612B" w:rsidP="0024612B">
      <w:pPr>
        <w:autoSpaceDE w:val="0"/>
        <w:autoSpaceDN w:val="0"/>
        <w:adjustRightInd w:val="0"/>
        <w:spacing w:after="0"/>
        <w:jc w:val="center"/>
        <w:rPr>
          <w:rFonts w:asciiTheme="majorBidi" w:hAnsiTheme="majorBidi" w:cstheme="majorBidi"/>
          <w:sz w:val="24"/>
          <w:szCs w:val="24"/>
        </w:rPr>
      </w:pPr>
      <w:r>
        <w:rPr>
          <w:rFonts w:asciiTheme="majorBidi" w:hAnsiTheme="majorBidi" w:cstheme="majorBidi"/>
          <w:noProof/>
          <w:sz w:val="24"/>
          <w:szCs w:val="24"/>
          <w:lang w:eastAsia="fr-FR"/>
        </w:rPr>
        <w:lastRenderedPageBreak/>
        <w:pict>
          <v:shapetype id="_x0000_t202" coordsize="21600,21600" o:spt="202" path="m,l,21600r21600,l21600,xe">
            <v:stroke joinstyle="miter"/>
            <v:path gradientshapeok="t" o:connecttype="rect"/>
          </v:shapetype>
          <v:shape id="_x0000_s1026" type="#_x0000_t202" style="position:absolute;left:0;text-align:left;margin-left:89.05pt;margin-top:1.4pt;width:39.35pt;height:55.25pt;z-index:251658240" stroked="f">
            <v:textbox>
              <w:txbxContent>
                <w:p w:rsidR="0024612B" w:rsidRDefault="0024612B" w:rsidP="0024612B"/>
              </w:txbxContent>
            </v:textbox>
          </v:shape>
        </w:pict>
      </w:r>
      <w:r w:rsidRPr="00BC4928">
        <w:rPr>
          <w:rFonts w:asciiTheme="majorBidi" w:hAnsiTheme="majorBidi" w:cstheme="majorBidi"/>
          <w:noProof/>
          <w:sz w:val="24"/>
          <w:szCs w:val="24"/>
          <w:lang w:eastAsia="fr-FR"/>
        </w:rPr>
        <w:drawing>
          <wp:inline distT="0" distB="0" distL="0" distR="0">
            <wp:extent cx="3352800" cy="3667125"/>
            <wp:effectExtent l="19050" t="0" r="0" b="0"/>
            <wp:docPr id="1"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3352800" cy="3667125"/>
                    </a:xfrm>
                    <a:prstGeom prst="rect">
                      <a:avLst/>
                    </a:prstGeom>
                    <a:noFill/>
                    <a:ln w="9525">
                      <a:noFill/>
                      <a:miter lim="800000"/>
                      <a:headEnd/>
                      <a:tailEnd/>
                    </a:ln>
                  </pic:spPr>
                </pic:pic>
              </a:graphicData>
            </a:graphic>
          </wp:inline>
        </w:drawing>
      </w:r>
    </w:p>
    <w:p w:rsidR="0024612B" w:rsidRPr="00BC4928" w:rsidRDefault="0024612B" w:rsidP="0024612B">
      <w:pPr>
        <w:autoSpaceDE w:val="0"/>
        <w:autoSpaceDN w:val="0"/>
        <w:adjustRightInd w:val="0"/>
        <w:spacing w:after="0"/>
        <w:jc w:val="both"/>
        <w:rPr>
          <w:rFonts w:asciiTheme="majorBidi" w:hAnsiTheme="majorBidi" w:cstheme="majorBidi"/>
          <w:sz w:val="24"/>
          <w:szCs w:val="24"/>
        </w:rPr>
      </w:pPr>
    </w:p>
    <w:p w:rsidR="0024612B" w:rsidRPr="00BC4928" w:rsidRDefault="0024612B" w:rsidP="0024612B">
      <w:pPr>
        <w:autoSpaceDE w:val="0"/>
        <w:autoSpaceDN w:val="0"/>
        <w:adjustRightInd w:val="0"/>
        <w:spacing w:after="0"/>
        <w:jc w:val="center"/>
        <w:rPr>
          <w:rFonts w:asciiTheme="majorBidi" w:hAnsiTheme="majorBidi" w:cstheme="majorBidi"/>
          <w:sz w:val="24"/>
          <w:szCs w:val="24"/>
        </w:rPr>
      </w:pPr>
    </w:p>
    <w:p w:rsidR="0024612B" w:rsidRPr="00BC4928" w:rsidRDefault="0024612B" w:rsidP="0024612B">
      <w:pPr>
        <w:autoSpaceDE w:val="0"/>
        <w:autoSpaceDN w:val="0"/>
        <w:adjustRightInd w:val="0"/>
        <w:spacing w:after="0"/>
        <w:jc w:val="both"/>
        <w:rPr>
          <w:rFonts w:asciiTheme="majorBidi" w:hAnsiTheme="majorBidi" w:cstheme="majorBidi"/>
          <w:sz w:val="24"/>
          <w:szCs w:val="24"/>
        </w:rPr>
      </w:pPr>
    </w:p>
    <w:p w:rsidR="0024612B" w:rsidRPr="00BC4928" w:rsidRDefault="0024612B" w:rsidP="0024612B">
      <w:pPr>
        <w:autoSpaceDE w:val="0"/>
        <w:autoSpaceDN w:val="0"/>
        <w:adjustRightInd w:val="0"/>
        <w:spacing w:after="0"/>
        <w:jc w:val="both"/>
        <w:rPr>
          <w:rFonts w:asciiTheme="majorBidi" w:hAnsiTheme="majorBidi" w:cstheme="majorBidi"/>
          <w:sz w:val="24"/>
          <w:szCs w:val="24"/>
        </w:rPr>
      </w:pPr>
    </w:p>
    <w:p w:rsidR="0024612B" w:rsidRPr="00BC4928" w:rsidRDefault="0024612B" w:rsidP="0024612B">
      <w:pPr>
        <w:autoSpaceDE w:val="0"/>
        <w:autoSpaceDN w:val="0"/>
        <w:adjustRightInd w:val="0"/>
        <w:spacing w:after="0"/>
        <w:jc w:val="center"/>
        <w:rPr>
          <w:rFonts w:asciiTheme="majorBidi" w:hAnsiTheme="majorBidi" w:cstheme="majorBidi"/>
          <w:sz w:val="24"/>
          <w:szCs w:val="24"/>
        </w:rPr>
      </w:pPr>
      <w:r w:rsidRPr="00BC4928">
        <w:rPr>
          <w:rFonts w:asciiTheme="majorBidi" w:hAnsiTheme="majorBidi" w:cstheme="majorBidi"/>
          <w:b/>
          <w:bCs/>
          <w:sz w:val="24"/>
          <w:szCs w:val="24"/>
        </w:rPr>
        <w:t>Figure 66</w:t>
      </w:r>
      <w:r w:rsidRPr="00BC4928">
        <w:rPr>
          <w:rFonts w:asciiTheme="majorBidi" w:hAnsiTheme="majorBidi" w:cstheme="majorBidi"/>
          <w:sz w:val="24"/>
          <w:szCs w:val="24"/>
        </w:rPr>
        <w:t> : Plasmide pBR322</w:t>
      </w:r>
      <w:r>
        <w:rPr>
          <w:rFonts w:asciiTheme="majorBidi" w:hAnsiTheme="majorBidi" w:cstheme="majorBidi"/>
          <w:sz w:val="24"/>
          <w:szCs w:val="24"/>
        </w:rPr>
        <w:t xml:space="preserve">  </w:t>
      </w:r>
      <w:r w:rsidRPr="003C6603">
        <w:rPr>
          <w:rFonts w:asciiTheme="majorBidi" w:hAnsiTheme="majorBidi" w:cstheme="majorBidi"/>
          <w:sz w:val="24"/>
          <w:szCs w:val="24"/>
        </w:rPr>
        <w:t xml:space="preserve">(Prescott </w:t>
      </w:r>
      <w:r w:rsidRPr="003C6603">
        <w:rPr>
          <w:rFonts w:asciiTheme="majorBidi" w:hAnsiTheme="majorBidi" w:cstheme="majorBidi"/>
          <w:i/>
          <w:iCs/>
          <w:sz w:val="24"/>
          <w:szCs w:val="24"/>
        </w:rPr>
        <w:t>et al</w:t>
      </w:r>
      <w:r w:rsidRPr="003C6603">
        <w:rPr>
          <w:rFonts w:asciiTheme="majorBidi" w:hAnsiTheme="majorBidi" w:cstheme="majorBidi"/>
          <w:sz w:val="24"/>
          <w:szCs w:val="24"/>
        </w:rPr>
        <w:t>., 2007)</w:t>
      </w:r>
    </w:p>
    <w:p w:rsidR="0024612B" w:rsidRPr="00BC4928" w:rsidRDefault="0024612B" w:rsidP="0024612B">
      <w:pPr>
        <w:autoSpaceDE w:val="0"/>
        <w:autoSpaceDN w:val="0"/>
        <w:adjustRightInd w:val="0"/>
        <w:spacing w:after="0"/>
        <w:jc w:val="both"/>
        <w:rPr>
          <w:rFonts w:asciiTheme="majorBidi" w:hAnsiTheme="majorBidi" w:cstheme="majorBidi"/>
          <w:sz w:val="24"/>
          <w:szCs w:val="24"/>
        </w:rPr>
      </w:pPr>
    </w:p>
    <w:p w:rsidR="0024612B" w:rsidRPr="00BC4928" w:rsidRDefault="0024612B" w:rsidP="0024612B">
      <w:pPr>
        <w:pStyle w:val="Default"/>
        <w:spacing w:line="276" w:lineRule="auto"/>
        <w:jc w:val="both"/>
        <w:rPr>
          <w:rFonts w:asciiTheme="majorBidi" w:hAnsiTheme="majorBidi" w:cstheme="majorBidi"/>
        </w:rPr>
      </w:pPr>
    </w:p>
    <w:p w:rsidR="0024612B" w:rsidRPr="00BC4928" w:rsidRDefault="0024612B" w:rsidP="0024612B">
      <w:pPr>
        <w:pStyle w:val="Default"/>
        <w:spacing w:line="276" w:lineRule="auto"/>
        <w:jc w:val="both"/>
        <w:rPr>
          <w:rFonts w:asciiTheme="majorBidi" w:hAnsiTheme="majorBidi" w:cstheme="majorBidi"/>
        </w:rPr>
      </w:pPr>
    </w:p>
    <w:p w:rsidR="0024612B" w:rsidRPr="00BC4928" w:rsidRDefault="0024612B" w:rsidP="0024612B">
      <w:pPr>
        <w:pStyle w:val="Default"/>
        <w:spacing w:line="276" w:lineRule="auto"/>
        <w:jc w:val="both"/>
        <w:rPr>
          <w:rFonts w:asciiTheme="majorBidi" w:hAnsiTheme="majorBidi" w:cstheme="majorBidi"/>
        </w:rPr>
      </w:pPr>
    </w:p>
    <w:p w:rsidR="0024612B" w:rsidRPr="00BC4928" w:rsidRDefault="0024612B" w:rsidP="0024612B">
      <w:pPr>
        <w:pStyle w:val="Default"/>
        <w:spacing w:line="276" w:lineRule="auto"/>
        <w:jc w:val="both"/>
        <w:rPr>
          <w:rFonts w:asciiTheme="majorBidi" w:hAnsiTheme="majorBidi" w:cstheme="majorBidi"/>
        </w:rPr>
      </w:pPr>
    </w:p>
    <w:p w:rsidR="0024612B" w:rsidRPr="00BC4928" w:rsidRDefault="0024612B" w:rsidP="0024612B">
      <w:pPr>
        <w:pStyle w:val="Default"/>
        <w:spacing w:line="276" w:lineRule="auto"/>
        <w:jc w:val="center"/>
        <w:rPr>
          <w:rFonts w:asciiTheme="majorBidi" w:hAnsiTheme="majorBidi" w:cstheme="majorBidi"/>
        </w:rPr>
      </w:pPr>
      <w:r w:rsidRPr="00BC4928">
        <w:rPr>
          <w:rFonts w:asciiTheme="majorBidi" w:hAnsiTheme="majorBidi" w:cstheme="majorBidi"/>
          <w:noProof/>
          <w:lang w:eastAsia="fr-FR"/>
        </w:rPr>
        <w:lastRenderedPageBreak/>
        <w:drawing>
          <wp:inline distT="0" distB="0" distL="0" distR="0">
            <wp:extent cx="4287136" cy="7315200"/>
            <wp:effectExtent l="19050" t="0" r="0" b="0"/>
            <wp:docPr id="2"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 cstate="print"/>
                    <a:srcRect/>
                    <a:stretch>
                      <a:fillRect/>
                    </a:stretch>
                  </pic:blipFill>
                  <pic:spPr bwMode="auto">
                    <a:xfrm>
                      <a:off x="0" y="0"/>
                      <a:ext cx="4287320" cy="7315514"/>
                    </a:xfrm>
                    <a:prstGeom prst="rect">
                      <a:avLst/>
                    </a:prstGeom>
                    <a:noFill/>
                    <a:ln w="9525">
                      <a:noFill/>
                      <a:miter lim="800000"/>
                      <a:headEnd/>
                      <a:tailEnd/>
                    </a:ln>
                  </pic:spPr>
                </pic:pic>
              </a:graphicData>
            </a:graphic>
          </wp:inline>
        </w:drawing>
      </w:r>
    </w:p>
    <w:p w:rsidR="0024612B" w:rsidRPr="00BC4928" w:rsidRDefault="0024612B" w:rsidP="0024612B">
      <w:pPr>
        <w:pStyle w:val="Default"/>
        <w:spacing w:line="276" w:lineRule="auto"/>
        <w:jc w:val="both"/>
        <w:rPr>
          <w:rFonts w:asciiTheme="majorBidi" w:hAnsiTheme="majorBidi" w:cstheme="majorBidi"/>
        </w:rPr>
      </w:pPr>
    </w:p>
    <w:p w:rsidR="0024612B" w:rsidRPr="00BC4928" w:rsidRDefault="0024612B" w:rsidP="0024612B">
      <w:pPr>
        <w:pStyle w:val="Default"/>
        <w:spacing w:line="276" w:lineRule="auto"/>
        <w:jc w:val="both"/>
        <w:rPr>
          <w:rFonts w:asciiTheme="majorBidi" w:hAnsiTheme="majorBidi" w:cstheme="majorBidi"/>
        </w:rPr>
      </w:pPr>
    </w:p>
    <w:p w:rsidR="0024612B" w:rsidRPr="00BC4928" w:rsidRDefault="0024612B" w:rsidP="0024612B">
      <w:pPr>
        <w:pStyle w:val="Default"/>
        <w:spacing w:line="276" w:lineRule="auto"/>
        <w:jc w:val="center"/>
        <w:rPr>
          <w:rFonts w:asciiTheme="majorBidi" w:hAnsiTheme="majorBidi" w:cstheme="majorBidi"/>
        </w:rPr>
      </w:pPr>
      <w:r w:rsidRPr="00BC4928">
        <w:rPr>
          <w:rFonts w:asciiTheme="majorBidi" w:hAnsiTheme="majorBidi" w:cstheme="majorBidi"/>
          <w:b/>
          <w:bCs/>
        </w:rPr>
        <w:t>Figure 67</w:t>
      </w:r>
      <w:r w:rsidRPr="00BC4928">
        <w:rPr>
          <w:rFonts w:asciiTheme="majorBidi" w:hAnsiTheme="majorBidi" w:cstheme="majorBidi"/>
        </w:rPr>
        <w:t> : Sélection des bactéries  recombinantes</w:t>
      </w:r>
      <w:r>
        <w:rPr>
          <w:rFonts w:asciiTheme="majorBidi" w:hAnsiTheme="majorBidi" w:cstheme="majorBidi"/>
        </w:rPr>
        <w:t xml:space="preserve"> </w:t>
      </w:r>
      <w:r w:rsidRPr="003C6603">
        <w:rPr>
          <w:rFonts w:asciiTheme="majorBidi" w:hAnsiTheme="majorBidi" w:cstheme="majorBidi"/>
        </w:rPr>
        <w:t xml:space="preserve">(Prescott </w:t>
      </w:r>
      <w:r w:rsidRPr="003C6603">
        <w:rPr>
          <w:rFonts w:asciiTheme="majorBidi" w:hAnsiTheme="majorBidi" w:cstheme="majorBidi"/>
          <w:i/>
          <w:iCs/>
        </w:rPr>
        <w:t>et al</w:t>
      </w:r>
      <w:r w:rsidRPr="003C6603">
        <w:rPr>
          <w:rFonts w:asciiTheme="majorBidi" w:hAnsiTheme="majorBidi" w:cstheme="majorBidi"/>
        </w:rPr>
        <w:t>., 2007)</w:t>
      </w:r>
    </w:p>
    <w:p w:rsidR="0024612B" w:rsidRPr="00EB6FAE" w:rsidRDefault="0024612B" w:rsidP="0024612B"/>
    <w:p w:rsidR="0024612B" w:rsidRDefault="0024612B" w:rsidP="0024612B">
      <w:pPr>
        <w:pStyle w:val="Titre2"/>
        <w:rPr>
          <w:rFonts w:asciiTheme="majorBidi" w:hAnsiTheme="majorBidi"/>
          <w:color w:val="0D0D0D" w:themeColor="text1" w:themeTint="F2"/>
        </w:rPr>
      </w:pPr>
    </w:p>
    <w:p w:rsidR="0024612B" w:rsidRPr="00BC4928" w:rsidRDefault="0024612B" w:rsidP="0024612B">
      <w:pPr>
        <w:pStyle w:val="Titre2"/>
        <w:rPr>
          <w:rFonts w:asciiTheme="majorBidi" w:hAnsiTheme="majorBidi"/>
          <w:color w:val="0D0D0D" w:themeColor="text1" w:themeTint="F2"/>
        </w:rPr>
      </w:pPr>
      <w:r>
        <w:rPr>
          <w:rFonts w:asciiTheme="majorBidi" w:hAnsiTheme="majorBidi"/>
          <w:color w:val="0D0D0D" w:themeColor="text1" w:themeTint="F2"/>
        </w:rPr>
        <w:t xml:space="preserve">  </w:t>
      </w:r>
      <w:r w:rsidRPr="00BC4928">
        <w:rPr>
          <w:rFonts w:asciiTheme="majorBidi" w:hAnsiTheme="majorBidi"/>
          <w:color w:val="0D0D0D" w:themeColor="text1" w:themeTint="F2"/>
        </w:rPr>
        <w:t>YAC</w:t>
      </w:r>
    </w:p>
    <w:p w:rsidR="0024612B" w:rsidRPr="00BC4928" w:rsidRDefault="0024612B" w:rsidP="0024612B">
      <w:pPr>
        <w:autoSpaceDE w:val="0"/>
        <w:autoSpaceDN w:val="0"/>
        <w:adjustRightInd w:val="0"/>
        <w:spacing w:after="0"/>
        <w:jc w:val="both"/>
        <w:rPr>
          <w:rFonts w:asciiTheme="majorBidi" w:hAnsiTheme="majorBidi" w:cstheme="majorBidi"/>
          <w:sz w:val="24"/>
          <w:szCs w:val="24"/>
        </w:rPr>
      </w:pPr>
      <w:r w:rsidRPr="00BC4928">
        <w:rPr>
          <w:rFonts w:asciiTheme="majorBidi" w:hAnsiTheme="majorBidi" w:cstheme="majorBidi"/>
          <w:b/>
          <w:bCs/>
          <w:sz w:val="24"/>
          <w:szCs w:val="24"/>
        </w:rPr>
        <w:t xml:space="preserve">Le YAC </w:t>
      </w:r>
      <w:r w:rsidRPr="00BC4928">
        <w:rPr>
          <w:rFonts w:asciiTheme="majorBidi" w:hAnsiTheme="majorBidi" w:cstheme="majorBidi"/>
          <w:sz w:val="24"/>
          <w:szCs w:val="24"/>
        </w:rPr>
        <w:t>ou chromosome artificiel de levure (</w:t>
      </w:r>
      <w:r w:rsidRPr="00BC4928">
        <w:rPr>
          <w:rFonts w:asciiTheme="majorBidi" w:hAnsiTheme="majorBidi" w:cstheme="majorBidi"/>
          <w:b/>
          <w:bCs/>
          <w:sz w:val="24"/>
          <w:szCs w:val="24"/>
        </w:rPr>
        <w:t>Y</w:t>
      </w:r>
      <w:r w:rsidRPr="00BC4928">
        <w:rPr>
          <w:rFonts w:asciiTheme="majorBidi" w:hAnsiTheme="majorBidi" w:cstheme="majorBidi"/>
          <w:sz w:val="24"/>
          <w:szCs w:val="24"/>
        </w:rPr>
        <w:t xml:space="preserve">east </w:t>
      </w:r>
      <w:r w:rsidRPr="00BC4928">
        <w:rPr>
          <w:rFonts w:asciiTheme="majorBidi" w:hAnsiTheme="majorBidi" w:cstheme="majorBidi"/>
          <w:b/>
          <w:bCs/>
          <w:sz w:val="24"/>
          <w:szCs w:val="24"/>
        </w:rPr>
        <w:t>A</w:t>
      </w:r>
      <w:r w:rsidRPr="00BC4928">
        <w:rPr>
          <w:rFonts w:asciiTheme="majorBidi" w:hAnsiTheme="majorBidi" w:cstheme="majorBidi"/>
          <w:sz w:val="24"/>
          <w:szCs w:val="24"/>
        </w:rPr>
        <w:t xml:space="preserve">rtificial </w:t>
      </w:r>
      <w:r w:rsidRPr="00BC4928">
        <w:rPr>
          <w:rFonts w:asciiTheme="majorBidi" w:hAnsiTheme="majorBidi" w:cstheme="majorBidi"/>
          <w:b/>
          <w:bCs/>
          <w:sz w:val="24"/>
          <w:szCs w:val="24"/>
        </w:rPr>
        <w:t>C</w:t>
      </w:r>
      <w:r w:rsidRPr="00BC4928">
        <w:rPr>
          <w:rFonts w:asciiTheme="majorBidi" w:hAnsiTheme="majorBidi" w:cstheme="majorBidi"/>
          <w:sz w:val="24"/>
          <w:szCs w:val="24"/>
        </w:rPr>
        <w:t xml:space="preserve">hromosome). Les YAC permettent de cloner de 150 à 1 000 kb de fragments d’ADN. Le génome de la levure </w:t>
      </w:r>
      <w:r w:rsidRPr="00BC4928">
        <w:rPr>
          <w:rFonts w:asciiTheme="majorBidi" w:hAnsiTheme="majorBidi" w:cstheme="majorBidi"/>
          <w:i/>
          <w:iCs/>
          <w:sz w:val="24"/>
          <w:szCs w:val="24"/>
        </w:rPr>
        <w:t xml:space="preserve">Saccharomyces cerevisiae </w:t>
      </w:r>
      <w:r w:rsidRPr="00BC4928">
        <w:rPr>
          <w:rFonts w:asciiTheme="majorBidi" w:hAnsiTheme="majorBidi" w:cstheme="majorBidi"/>
          <w:sz w:val="24"/>
          <w:szCs w:val="24"/>
        </w:rPr>
        <w:t>est constitué de 16 chromosomes de taille comprise entre 250 et 2000 kb. Chez la levure, trois régions chromosomiques sont importantes pour sa réplication. Les séquences télomériques (</w:t>
      </w:r>
      <w:r w:rsidRPr="00BC4928">
        <w:rPr>
          <w:rFonts w:asciiTheme="majorBidi" w:hAnsiTheme="majorBidi" w:cstheme="majorBidi"/>
          <w:b/>
          <w:bCs/>
          <w:sz w:val="24"/>
          <w:szCs w:val="24"/>
        </w:rPr>
        <w:t>Tel</w:t>
      </w:r>
      <w:r w:rsidRPr="00BC4928">
        <w:rPr>
          <w:rFonts w:asciiTheme="majorBidi" w:hAnsiTheme="majorBidi" w:cstheme="majorBidi"/>
          <w:sz w:val="24"/>
          <w:szCs w:val="24"/>
        </w:rPr>
        <w:t>), centromériques (</w:t>
      </w:r>
      <w:r w:rsidRPr="00BC4928">
        <w:rPr>
          <w:rFonts w:asciiTheme="majorBidi" w:hAnsiTheme="majorBidi" w:cstheme="majorBidi"/>
          <w:b/>
          <w:bCs/>
          <w:sz w:val="24"/>
          <w:szCs w:val="24"/>
        </w:rPr>
        <w:t>CEN</w:t>
      </w:r>
      <w:r w:rsidRPr="00BC4928">
        <w:rPr>
          <w:rFonts w:asciiTheme="majorBidi" w:hAnsiTheme="majorBidi" w:cstheme="majorBidi"/>
          <w:sz w:val="24"/>
          <w:szCs w:val="24"/>
        </w:rPr>
        <w:t xml:space="preserve">), et une séquence </w:t>
      </w:r>
      <w:r w:rsidRPr="00BC4928">
        <w:rPr>
          <w:rFonts w:asciiTheme="majorBidi" w:hAnsiTheme="majorBidi" w:cstheme="majorBidi"/>
          <w:b/>
          <w:bCs/>
          <w:sz w:val="24"/>
          <w:szCs w:val="24"/>
        </w:rPr>
        <w:t xml:space="preserve">ARS </w:t>
      </w:r>
      <w:r w:rsidRPr="00BC4928">
        <w:rPr>
          <w:rFonts w:asciiTheme="majorBidi" w:hAnsiTheme="majorBidi" w:cstheme="majorBidi"/>
          <w:sz w:val="24"/>
          <w:szCs w:val="24"/>
        </w:rPr>
        <w:t>(</w:t>
      </w:r>
      <w:r w:rsidRPr="00BC4928">
        <w:rPr>
          <w:rFonts w:asciiTheme="majorBidi" w:hAnsiTheme="majorBidi" w:cstheme="majorBidi"/>
          <w:b/>
          <w:bCs/>
          <w:sz w:val="24"/>
          <w:szCs w:val="24"/>
        </w:rPr>
        <w:t>A</w:t>
      </w:r>
      <w:r w:rsidRPr="00BC4928">
        <w:rPr>
          <w:rFonts w:asciiTheme="majorBidi" w:hAnsiTheme="majorBidi" w:cstheme="majorBidi"/>
          <w:sz w:val="24"/>
          <w:szCs w:val="24"/>
        </w:rPr>
        <w:t xml:space="preserve">utonomous </w:t>
      </w:r>
      <w:r w:rsidRPr="00BC4928">
        <w:rPr>
          <w:rFonts w:asciiTheme="majorBidi" w:hAnsiTheme="majorBidi" w:cstheme="majorBidi"/>
          <w:b/>
          <w:bCs/>
          <w:sz w:val="24"/>
          <w:szCs w:val="24"/>
        </w:rPr>
        <w:t>R</w:t>
      </w:r>
      <w:r w:rsidRPr="00BC4928">
        <w:rPr>
          <w:rFonts w:asciiTheme="majorBidi" w:hAnsiTheme="majorBidi" w:cstheme="majorBidi"/>
          <w:sz w:val="24"/>
          <w:szCs w:val="24"/>
        </w:rPr>
        <w:t xml:space="preserve">eplicating </w:t>
      </w:r>
      <w:r w:rsidRPr="00BC4928">
        <w:rPr>
          <w:rFonts w:asciiTheme="majorBidi" w:hAnsiTheme="majorBidi" w:cstheme="majorBidi"/>
          <w:b/>
          <w:bCs/>
          <w:sz w:val="24"/>
          <w:szCs w:val="24"/>
        </w:rPr>
        <w:t>S</w:t>
      </w:r>
      <w:r w:rsidRPr="00BC4928">
        <w:rPr>
          <w:rFonts w:asciiTheme="majorBidi" w:hAnsiTheme="majorBidi" w:cstheme="majorBidi"/>
          <w:sz w:val="24"/>
          <w:szCs w:val="24"/>
        </w:rPr>
        <w:t>equence) (Figure 75).On a donc construit des chromosomes artificiels contenant ces régions essentielles et du DNA que l’on désire cloner. La taille du DNA cloné peut donc atteindre de 1 000 à 2 000 kb. Les YAC n'exigent que les cellules de levures comme hôtes. On peut cependant introduire dans l’ADN cloné des séquences bactériennes pour la sélection (Figure 76).</w:t>
      </w:r>
    </w:p>
    <w:p w:rsidR="0024612B" w:rsidRPr="00BC4928" w:rsidRDefault="0024612B" w:rsidP="0024612B">
      <w:pPr>
        <w:jc w:val="both"/>
        <w:rPr>
          <w:rFonts w:asciiTheme="majorBidi" w:hAnsiTheme="majorBidi" w:cstheme="majorBidi"/>
          <w:sz w:val="24"/>
          <w:szCs w:val="24"/>
        </w:rPr>
      </w:pPr>
    </w:p>
    <w:p w:rsidR="0024612B" w:rsidRPr="00BC4928" w:rsidRDefault="0024612B" w:rsidP="0024612B">
      <w:pPr>
        <w:jc w:val="both"/>
        <w:rPr>
          <w:rFonts w:asciiTheme="majorBidi" w:hAnsiTheme="majorBidi" w:cstheme="majorBidi"/>
          <w:sz w:val="24"/>
          <w:szCs w:val="24"/>
        </w:rPr>
      </w:pPr>
      <w:r w:rsidRPr="00BC4928">
        <w:rPr>
          <w:rFonts w:asciiTheme="majorBidi" w:hAnsiTheme="majorBidi" w:cstheme="majorBidi"/>
          <w:noProof/>
          <w:sz w:val="24"/>
          <w:szCs w:val="24"/>
          <w:lang w:eastAsia="fr-FR"/>
        </w:rPr>
        <w:drawing>
          <wp:inline distT="0" distB="0" distL="0" distR="0">
            <wp:extent cx="5760720" cy="1390661"/>
            <wp:effectExtent l="19050" t="0" r="0" b="0"/>
            <wp:docPr id="6"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cstate="print"/>
                    <a:srcRect/>
                    <a:stretch>
                      <a:fillRect/>
                    </a:stretch>
                  </pic:blipFill>
                  <pic:spPr bwMode="auto">
                    <a:xfrm>
                      <a:off x="0" y="0"/>
                      <a:ext cx="5760720" cy="1390661"/>
                    </a:xfrm>
                    <a:prstGeom prst="rect">
                      <a:avLst/>
                    </a:prstGeom>
                    <a:noFill/>
                    <a:ln w="9525">
                      <a:noFill/>
                      <a:miter lim="800000"/>
                      <a:headEnd/>
                      <a:tailEnd/>
                    </a:ln>
                  </pic:spPr>
                </pic:pic>
              </a:graphicData>
            </a:graphic>
          </wp:inline>
        </w:drawing>
      </w:r>
    </w:p>
    <w:p w:rsidR="0024612B" w:rsidRPr="00BC4928" w:rsidRDefault="0024612B" w:rsidP="0024612B">
      <w:pPr>
        <w:jc w:val="center"/>
        <w:rPr>
          <w:rFonts w:asciiTheme="majorBidi" w:hAnsiTheme="majorBidi" w:cstheme="majorBidi"/>
          <w:sz w:val="24"/>
          <w:szCs w:val="24"/>
        </w:rPr>
      </w:pPr>
      <w:r w:rsidRPr="00BC4928">
        <w:rPr>
          <w:rFonts w:asciiTheme="majorBidi" w:hAnsiTheme="majorBidi" w:cstheme="majorBidi"/>
          <w:b/>
          <w:bCs/>
          <w:sz w:val="24"/>
          <w:szCs w:val="24"/>
        </w:rPr>
        <w:t>Figure 75</w:t>
      </w:r>
      <w:r w:rsidRPr="00BC4928">
        <w:rPr>
          <w:rFonts w:asciiTheme="majorBidi" w:hAnsiTheme="majorBidi" w:cstheme="majorBidi"/>
          <w:sz w:val="24"/>
          <w:szCs w:val="24"/>
        </w:rPr>
        <w:t xml:space="preserve"> : Illustration d’un YAC</w:t>
      </w:r>
      <w:r>
        <w:rPr>
          <w:rFonts w:asciiTheme="majorBidi" w:hAnsiTheme="majorBidi" w:cstheme="majorBidi"/>
          <w:sz w:val="24"/>
          <w:szCs w:val="24"/>
        </w:rPr>
        <w:t xml:space="preserve"> (</w:t>
      </w:r>
      <w:r w:rsidRPr="00313C9C">
        <w:rPr>
          <w:rFonts w:asciiTheme="majorBidi" w:hAnsiTheme="majorBidi" w:cstheme="majorBidi"/>
          <w:sz w:val="24"/>
          <w:szCs w:val="24"/>
        </w:rPr>
        <w:t>https://slidetodoc.com</w:t>
      </w:r>
      <w:r>
        <w:rPr>
          <w:rFonts w:asciiTheme="majorBidi" w:hAnsiTheme="majorBidi" w:cstheme="majorBidi"/>
          <w:sz w:val="24"/>
          <w:szCs w:val="24"/>
        </w:rPr>
        <w:t>)</w:t>
      </w:r>
    </w:p>
    <w:p w:rsidR="0024612B" w:rsidRPr="00BC4928" w:rsidRDefault="0024612B" w:rsidP="0024612B">
      <w:pPr>
        <w:jc w:val="center"/>
        <w:rPr>
          <w:rFonts w:asciiTheme="majorBidi" w:hAnsiTheme="majorBidi" w:cstheme="majorBidi"/>
          <w:sz w:val="24"/>
          <w:szCs w:val="24"/>
        </w:rPr>
      </w:pPr>
      <w:r w:rsidRPr="00BC4928">
        <w:rPr>
          <w:rFonts w:asciiTheme="majorBidi" w:hAnsiTheme="majorBidi" w:cstheme="majorBidi"/>
          <w:noProof/>
          <w:sz w:val="24"/>
          <w:szCs w:val="24"/>
          <w:lang w:eastAsia="fr-FR"/>
        </w:rPr>
        <w:lastRenderedPageBreak/>
        <w:drawing>
          <wp:inline distT="0" distB="0" distL="0" distR="0">
            <wp:extent cx="4527240" cy="5085207"/>
            <wp:effectExtent l="19050" t="0" r="6660" b="0"/>
            <wp:docPr id="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b="7848"/>
                    <a:stretch>
                      <a:fillRect/>
                    </a:stretch>
                  </pic:blipFill>
                  <pic:spPr bwMode="auto">
                    <a:xfrm>
                      <a:off x="0" y="0"/>
                      <a:ext cx="4527240" cy="5085207"/>
                    </a:xfrm>
                    <a:prstGeom prst="rect">
                      <a:avLst/>
                    </a:prstGeom>
                    <a:noFill/>
                    <a:ln w="9525">
                      <a:noFill/>
                      <a:miter lim="800000"/>
                      <a:headEnd/>
                      <a:tailEnd/>
                    </a:ln>
                  </pic:spPr>
                </pic:pic>
              </a:graphicData>
            </a:graphic>
          </wp:inline>
        </w:drawing>
      </w:r>
    </w:p>
    <w:p w:rsidR="0024612B" w:rsidRPr="00BC4928" w:rsidRDefault="0024612B" w:rsidP="0024612B">
      <w:pPr>
        <w:jc w:val="center"/>
        <w:rPr>
          <w:rFonts w:asciiTheme="majorBidi" w:hAnsiTheme="majorBidi" w:cstheme="majorBidi"/>
          <w:sz w:val="24"/>
          <w:szCs w:val="24"/>
        </w:rPr>
      </w:pPr>
      <w:r w:rsidRPr="00BC4928">
        <w:rPr>
          <w:rFonts w:asciiTheme="majorBidi" w:hAnsiTheme="majorBidi" w:cstheme="majorBidi"/>
          <w:b/>
          <w:bCs/>
          <w:sz w:val="24"/>
          <w:szCs w:val="24"/>
        </w:rPr>
        <w:t>Figure 76</w:t>
      </w:r>
      <w:r w:rsidRPr="00BC4928">
        <w:rPr>
          <w:rFonts w:asciiTheme="majorBidi" w:hAnsiTheme="majorBidi" w:cstheme="majorBidi"/>
          <w:sz w:val="24"/>
          <w:szCs w:val="24"/>
        </w:rPr>
        <w:t> : Clonage dans un vecteur YAC</w:t>
      </w:r>
      <w:r>
        <w:rPr>
          <w:rFonts w:asciiTheme="majorBidi" w:hAnsiTheme="majorBidi" w:cstheme="majorBidi"/>
          <w:sz w:val="24"/>
          <w:szCs w:val="24"/>
        </w:rPr>
        <w:t xml:space="preserve"> (Ouldjaoui,2013)</w:t>
      </w:r>
    </w:p>
    <w:p w:rsidR="0043607D" w:rsidRDefault="0043607D"/>
    <w:sectPr w:rsidR="0043607D" w:rsidSect="0043607D">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1F8" w:rsidRDefault="00CD21F8" w:rsidP="0024612B">
      <w:pPr>
        <w:spacing w:after="0" w:line="240" w:lineRule="auto"/>
      </w:pPr>
      <w:r>
        <w:separator/>
      </w:r>
    </w:p>
  </w:endnote>
  <w:endnote w:type="continuationSeparator" w:id="1">
    <w:p w:rsidR="00CD21F8" w:rsidRDefault="00CD21F8" w:rsidP="002461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492194"/>
      <w:docPartObj>
        <w:docPartGallery w:val="Page Numbers (Bottom of Page)"/>
        <w:docPartUnique/>
      </w:docPartObj>
    </w:sdtPr>
    <w:sdtContent>
      <w:p w:rsidR="0024612B" w:rsidRDefault="0024612B">
        <w:pPr>
          <w:pStyle w:val="Pieddepage"/>
          <w:jc w:val="center"/>
        </w:pPr>
        <w:fldSimple w:instr=" PAGE   \* MERGEFORMAT ">
          <w:r>
            <w:rPr>
              <w:noProof/>
            </w:rPr>
            <w:t>1</w:t>
          </w:r>
        </w:fldSimple>
      </w:p>
    </w:sdtContent>
  </w:sdt>
  <w:p w:rsidR="0024612B" w:rsidRDefault="0024612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1F8" w:rsidRDefault="00CD21F8" w:rsidP="0024612B">
      <w:pPr>
        <w:spacing w:after="0" w:line="240" w:lineRule="auto"/>
      </w:pPr>
      <w:r>
        <w:separator/>
      </w:r>
    </w:p>
  </w:footnote>
  <w:footnote w:type="continuationSeparator" w:id="1">
    <w:p w:rsidR="00CD21F8" w:rsidRDefault="00CD21F8" w:rsidP="002461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12B" w:rsidRPr="00BF51C0" w:rsidRDefault="0024612B" w:rsidP="0024612B">
    <w:pPr>
      <w:pStyle w:val="En-tte"/>
      <w:rPr>
        <w:rFonts w:asciiTheme="majorBidi" w:hAnsiTheme="majorBidi" w:cstheme="majorBidi"/>
        <w:i/>
        <w:iCs/>
        <w:sz w:val="20"/>
        <w:szCs w:val="20"/>
      </w:rPr>
    </w:pPr>
    <w:r w:rsidRPr="00BF51C0">
      <w:rPr>
        <w:rFonts w:asciiTheme="majorBidi" w:hAnsiTheme="majorBidi" w:cstheme="majorBidi"/>
        <w:i/>
        <w:iCs/>
        <w:sz w:val="20"/>
        <w:szCs w:val="20"/>
      </w:rPr>
      <w:t>Centre universitaire Mila</w:t>
    </w:r>
  </w:p>
  <w:p w:rsidR="0024612B" w:rsidRPr="00BF51C0" w:rsidRDefault="0024612B" w:rsidP="0024612B">
    <w:pPr>
      <w:pStyle w:val="En-tte"/>
      <w:rPr>
        <w:rFonts w:asciiTheme="majorBidi" w:hAnsiTheme="majorBidi" w:cstheme="majorBidi"/>
        <w:i/>
        <w:iCs/>
        <w:sz w:val="20"/>
        <w:szCs w:val="20"/>
      </w:rPr>
    </w:pPr>
    <w:r w:rsidRPr="00BF51C0">
      <w:rPr>
        <w:rFonts w:asciiTheme="majorBidi" w:hAnsiTheme="majorBidi" w:cstheme="majorBidi"/>
        <w:i/>
        <w:iCs/>
        <w:sz w:val="20"/>
        <w:szCs w:val="20"/>
      </w:rPr>
      <w:t xml:space="preserve">Module : Biotechnologie microbienne                                                           </w:t>
    </w:r>
    <w:r>
      <w:rPr>
        <w:rFonts w:asciiTheme="majorBidi" w:hAnsiTheme="majorBidi" w:cstheme="majorBidi"/>
        <w:i/>
        <w:iCs/>
        <w:sz w:val="20"/>
        <w:szCs w:val="20"/>
      </w:rPr>
      <w:t xml:space="preserve">       </w:t>
    </w:r>
    <w:r w:rsidRPr="00BF51C0">
      <w:rPr>
        <w:rFonts w:asciiTheme="majorBidi" w:hAnsiTheme="majorBidi" w:cstheme="majorBidi"/>
        <w:i/>
        <w:iCs/>
        <w:sz w:val="20"/>
        <w:szCs w:val="20"/>
      </w:rPr>
      <w:t>Dr. RABHI Nour El Houda</w:t>
    </w:r>
  </w:p>
  <w:p w:rsidR="0024612B" w:rsidRPr="00BF51C0" w:rsidRDefault="0024612B" w:rsidP="0024612B">
    <w:pPr>
      <w:pStyle w:val="En-tte"/>
      <w:rPr>
        <w:rFonts w:asciiTheme="majorBidi" w:hAnsiTheme="majorBidi" w:cstheme="majorBidi"/>
        <w:i/>
        <w:iCs/>
        <w:sz w:val="20"/>
        <w:szCs w:val="20"/>
      </w:rPr>
    </w:pPr>
    <w:r w:rsidRPr="00BF51C0">
      <w:rPr>
        <w:rFonts w:asciiTheme="majorBidi" w:hAnsiTheme="majorBidi" w:cstheme="majorBidi"/>
        <w:i/>
        <w:iCs/>
        <w:sz w:val="20"/>
        <w:szCs w:val="20"/>
      </w:rPr>
      <w:t>Spécialité : Microbiologie appliquée</w:t>
    </w:r>
  </w:p>
  <w:p w:rsidR="0024612B" w:rsidRPr="00BF51C0" w:rsidRDefault="0024612B" w:rsidP="0024612B">
    <w:pPr>
      <w:pStyle w:val="En-tte"/>
      <w:rPr>
        <w:rFonts w:asciiTheme="majorBidi" w:hAnsiTheme="majorBidi" w:cstheme="majorBidi"/>
        <w:i/>
        <w:iCs/>
        <w:sz w:val="20"/>
        <w:szCs w:val="20"/>
      </w:rPr>
    </w:pPr>
    <w:r w:rsidRPr="00BF51C0">
      <w:rPr>
        <w:rFonts w:asciiTheme="majorBidi" w:hAnsiTheme="majorBidi" w:cstheme="majorBidi"/>
        <w:i/>
        <w:iCs/>
        <w:sz w:val="20"/>
        <w:szCs w:val="20"/>
      </w:rPr>
      <w:t>Niveau : Master2</w:t>
    </w:r>
  </w:p>
  <w:p w:rsidR="0024612B" w:rsidRDefault="0024612B" w:rsidP="0024612B">
    <w:pPr>
      <w:pStyle w:val="En-tte"/>
    </w:pPr>
  </w:p>
  <w:p w:rsidR="0024612B" w:rsidRDefault="0024612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32B"/>
    <w:multiLevelType w:val="multilevel"/>
    <w:tmpl w:val="1648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97E0B"/>
    <w:multiLevelType w:val="multilevel"/>
    <w:tmpl w:val="97D8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13318C"/>
    <w:multiLevelType w:val="multilevel"/>
    <w:tmpl w:val="2D4E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01695E"/>
    <w:multiLevelType w:val="hybridMultilevel"/>
    <w:tmpl w:val="E1227444"/>
    <w:lvl w:ilvl="0" w:tplc="D2F24DC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6EF3BCE"/>
    <w:multiLevelType w:val="multilevel"/>
    <w:tmpl w:val="F7FC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5B79B7"/>
    <w:multiLevelType w:val="multilevel"/>
    <w:tmpl w:val="83665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A05D4D"/>
    <w:multiLevelType w:val="multilevel"/>
    <w:tmpl w:val="4DF2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E720AD"/>
    <w:multiLevelType w:val="multilevel"/>
    <w:tmpl w:val="810A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2"/>
  </w:num>
  <w:num w:numId="5">
    <w:abstractNumId w:val="4"/>
  </w:num>
  <w:num w:numId="6">
    <w:abstractNumId w:val="0"/>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24612B"/>
    <w:rsid w:val="0024612B"/>
    <w:rsid w:val="0043607D"/>
    <w:rsid w:val="00CD21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12B"/>
  </w:style>
  <w:style w:type="paragraph" w:styleId="Titre2">
    <w:name w:val="heading 2"/>
    <w:basedOn w:val="Normal"/>
    <w:next w:val="Normal"/>
    <w:link w:val="Titre2Car"/>
    <w:uiPriority w:val="9"/>
    <w:unhideWhenUsed/>
    <w:qFormat/>
    <w:rsid w:val="002461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4612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24612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4612B"/>
    <w:rPr>
      <w:b/>
      <w:bCs/>
    </w:rPr>
  </w:style>
  <w:style w:type="paragraph" w:customStyle="1" w:styleId="Default">
    <w:name w:val="Default"/>
    <w:rsid w:val="0024612B"/>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2461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612B"/>
    <w:rPr>
      <w:rFonts w:ascii="Tahoma" w:hAnsi="Tahoma" w:cs="Tahoma"/>
      <w:sz w:val="16"/>
      <w:szCs w:val="16"/>
    </w:rPr>
  </w:style>
  <w:style w:type="paragraph" w:styleId="En-tte">
    <w:name w:val="header"/>
    <w:basedOn w:val="Normal"/>
    <w:link w:val="En-tteCar"/>
    <w:uiPriority w:val="99"/>
    <w:semiHidden/>
    <w:unhideWhenUsed/>
    <w:rsid w:val="0024612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4612B"/>
  </w:style>
  <w:style w:type="paragraph" w:styleId="Pieddepage">
    <w:name w:val="footer"/>
    <w:basedOn w:val="Normal"/>
    <w:link w:val="PieddepageCar"/>
    <w:uiPriority w:val="99"/>
    <w:unhideWhenUsed/>
    <w:rsid w:val="002461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61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2242</Words>
  <Characters>12335</Characters>
  <Application>Microsoft Office Word</Application>
  <DocSecurity>0</DocSecurity>
  <Lines>102</Lines>
  <Paragraphs>29</Paragraphs>
  <ScaleCrop>false</ScaleCrop>
  <Company/>
  <LinksUpToDate>false</LinksUpToDate>
  <CharactersWithSpaces>14548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 Info</dc:creator>
  <cp:lastModifiedBy>Tis Info</cp:lastModifiedBy>
  <cp:revision>1</cp:revision>
  <dcterms:created xsi:type="dcterms:W3CDTF">2024-11-17T09:34:00Z</dcterms:created>
  <dcterms:modified xsi:type="dcterms:W3CDTF">2024-11-17T09:35:00Z</dcterms:modified>
</cp:coreProperties>
</file>