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31"/>
        <w:gridCol w:w="478"/>
        <w:gridCol w:w="101"/>
        <w:gridCol w:w="663"/>
        <w:gridCol w:w="2337"/>
        <w:gridCol w:w="66"/>
        <w:gridCol w:w="423"/>
        <w:gridCol w:w="151"/>
        <w:gridCol w:w="119"/>
        <w:gridCol w:w="1355"/>
        <w:gridCol w:w="407"/>
        <w:gridCol w:w="42"/>
        <w:gridCol w:w="762"/>
        <w:gridCol w:w="216"/>
        <w:gridCol w:w="1472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</w:t>
            </w:r>
            <w:proofErr w:type="gramStart"/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proofErr w:type="gramEnd"/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A6383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المحاسبة </w:t>
            </w:r>
            <w:proofErr w:type="spellStart"/>
            <w:r w:rsidR="00A6383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الماليةالمعمقة</w:t>
            </w:r>
            <w:proofErr w:type="spellEnd"/>
            <w:r w:rsidR="00A6383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1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A63830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علوم مالية ومحاسبة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A63830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محاسبة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A63830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ليسانس</w:t>
            </w:r>
          </w:p>
        </w:tc>
      </w:tr>
      <w:tr w:rsidR="00CB2779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B2779" w:rsidRPr="00C34721" w:rsidRDefault="00A63830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الخامس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B2779" w:rsidRPr="00FF3D20" w:rsidRDefault="00A63830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E82A76" w:rsidRDefault="00A6383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المحاسبة المالية المعمقة 1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A6383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A6383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9D771D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9D771D" w:rsidRPr="0050480E" w:rsidRDefault="00A63830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4,5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9D771D" w:rsidRPr="0050480E" w:rsidRDefault="00A63830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 الأسبوع )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A6383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1,5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A6383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A6383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مريم باي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A6383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محاضر أ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A6383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06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A6383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  <w:t>m.bey@centre-univ-mila.dz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A63830" w:rsidP="00C0519C">
            <w:pPr>
              <w:bidi/>
              <w:spacing w:after="0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الاثنين المدرج 10 من الثامنة الى الحادية عشر صباحا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A5569E">
        <w:trPr>
          <w:trHeight w:val="148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54299F" w:rsidP="0054299F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>محاسبة عامة1، محاسبة عامة2،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>محاسبة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>التسيير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،</w:t>
            </w:r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رياضيات</w:t>
            </w:r>
            <w:r w:rsidRPr="0054299F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مالية، معايير المحاسبة الدولية</w:t>
            </w:r>
            <w:r>
              <w:rPr>
                <w:rFonts w:cs="Arabic Transparent" w:hint="cs"/>
                <w:b/>
                <w:i/>
                <w:iCs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  <w:tr w:rsidR="00D84EAE" w:rsidRPr="0050480E" w:rsidTr="00A5569E">
        <w:trPr>
          <w:trHeight w:val="20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A63830" w:rsidP="00A6383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C07098">
              <w:rPr>
                <w:rFonts w:cs="Arabic Transparent" w:hint="cs"/>
                <w:sz w:val="32"/>
                <w:szCs w:val="32"/>
                <w:rtl/>
                <w:lang w:bidi="ar-DZ"/>
              </w:rPr>
              <w:t>تع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ريف الطالب بكيفية وطرق التقييم وال</w:t>
            </w:r>
            <w:r w:rsidRPr="00C07098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معالجة </w:t>
            </w:r>
            <w:r>
              <w:rPr>
                <w:rFonts w:cs="Arabic Transparent" w:hint="cs"/>
                <w:sz w:val="32"/>
                <w:szCs w:val="32"/>
                <w:rtl/>
                <w:lang w:bidi="ar-DZ"/>
              </w:rPr>
              <w:t>لل</w:t>
            </w:r>
            <w:r w:rsidRPr="00C07098">
              <w:rPr>
                <w:rFonts w:cs="Arabic Transparent" w:hint="cs"/>
                <w:sz w:val="32"/>
                <w:szCs w:val="32"/>
                <w:rtl/>
                <w:lang w:bidi="ar-DZ"/>
              </w:rPr>
              <w:t>حالات الخاصة في المحاسبة</w:t>
            </w:r>
          </w:p>
        </w:tc>
      </w:tr>
      <w:tr w:rsidR="00D84EAE" w:rsidRPr="0050480E" w:rsidTr="00A5569E">
        <w:trPr>
          <w:trHeight w:val="14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5F1E9A" w:rsidRPr="00C754E5" w:rsidRDefault="00D84EAE" w:rsidP="005F1E9A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</w:p>
          <w:p w:rsidR="00D84EAE" w:rsidRPr="00C754E5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4299F" w:rsidRPr="0054299F" w:rsidRDefault="0054299F" w:rsidP="0054299F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lang w:eastAsia="zh-CN" w:bidi="ar-DZ"/>
              </w:rPr>
            </w:pPr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>محاسبة الأغلفة المتقدمة</w:t>
            </w:r>
          </w:p>
          <w:p w:rsidR="00D84EAE" w:rsidRPr="0058217A" w:rsidRDefault="00D84EAE" w:rsidP="0054299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4299F" w:rsidRPr="0054299F" w:rsidRDefault="0054299F" w:rsidP="0054299F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lang w:eastAsia="zh-CN" w:bidi="ar-DZ"/>
              </w:rPr>
            </w:pPr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 xml:space="preserve">محاسبة الأوراق التجارية </w:t>
            </w:r>
            <w:proofErr w:type="gramStart"/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>( التحصيل</w:t>
            </w:r>
            <w:proofErr w:type="gramEnd"/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>، الخصم، التظهير، ......إلخ)</w:t>
            </w:r>
          </w:p>
          <w:p w:rsidR="00D84EAE" w:rsidRPr="0054299F" w:rsidRDefault="00D84EAE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المحور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4299F" w:rsidRPr="0054299F" w:rsidRDefault="0054299F" w:rsidP="0054299F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lang w:eastAsia="zh-CN" w:bidi="ar-DZ"/>
              </w:rPr>
            </w:pPr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>محاسبة الأجور</w:t>
            </w:r>
          </w:p>
          <w:p w:rsidR="00D84EAE" w:rsidRPr="0058217A" w:rsidRDefault="00D84EAE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54299F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4299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-</w:t>
            </w:r>
            <w:r w:rsidRPr="0054299F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  <w:t>محاسبة الضرائب المؤجلة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4299F" w:rsidRPr="0054299F" w:rsidRDefault="0054299F" w:rsidP="0054299F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lang w:eastAsia="zh-CN" w:bidi="ar-DZ"/>
              </w:rPr>
            </w:pPr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>محاسبة عقود الإيجار التمويلية</w:t>
            </w:r>
          </w:p>
          <w:p w:rsidR="00D84EAE" w:rsidRPr="0058217A" w:rsidRDefault="00D84EAE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  <w:proofErr w:type="gramEnd"/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4299F" w:rsidRPr="0054299F" w:rsidRDefault="0054299F" w:rsidP="0054299F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lang w:eastAsia="zh-CN" w:bidi="ar-DZ"/>
              </w:rPr>
            </w:pPr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>العقود على المدى الطويل.</w:t>
            </w:r>
          </w:p>
          <w:p w:rsidR="0054299F" w:rsidRPr="0054299F" w:rsidRDefault="0054299F" w:rsidP="0054299F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lang w:eastAsia="zh-CN" w:bidi="ar-DZ"/>
              </w:rPr>
            </w:pPr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 xml:space="preserve">عموميات </w:t>
            </w:r>
          </w:p>
          <w:p w:rsidR="0054299F" w:rsidRPr="0054299F" w:rsidRDefault="0054299F" w:rsidP="0054299F">
            <w:pPr>
              <w:numPr>
                <w:ilvl w:val="0"/>
                <w:numId w:val="9"/>
              </w:numPr>
              <w:bidi/>
              <w:spacing w:after="0" w:line="240" w:lineRule="auto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lang w:eastAsia="zh-CN" w:bidi="ar-DZ"/>
              </w:rPr>
            </w:pPr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 xml:space="preserve">طريقة الإنجاز </w:t>
            </w:r>
          </w:p>
          <w:p w:rsidR="005F1E9A" w:rsidRPr="0058217A" w:rsidRDefault="0054299F" w:rsidP="0054299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eastAsia="zh-CN" w:bidi="ar-DZ"/>
              </w:rPr>
              <w:t xml:space="preserve">      -</w:t>
            </w:r>
            <w:r w:rsidRPr="0054299F">
              <w:rPr>
                <w:rFonts w:ascii="Times New Roman" w:eastAsia="SimSun" w:hAnsi="Times New Roman" w:cs="Arabic Transparent"/>
                <w:sz w:val="28"/>
                <w:szCs w:val="28"/>
                <w:rtl/>
                <w:lang w:eastAsia="zh-CN" w:bidi="ar-DZ"/>
              </w:rPr>
              <w:t>طريقة التقدم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A662F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54299F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A662F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موجهة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A662F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A662F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A662F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فريق)   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A662F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A662F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المواظبة (الحضور /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الغياب )</w:t>
            </w:r>
            <w:proofErr w:type="gramEnd"/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54299F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A662F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المشاركة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)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54299F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تدرس المادة في شكل محاضرات وأعمال موجهة/تطبيقية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و طبيعة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  <w:proofErr w:type="gramEnd"/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5523E2">
            <w:pPr>
              <w:bidi/>
              <w:spacing w:after="0" w:line="240" w:lineRule="auto"/>
              <w:ind w:left="359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</w:t>
            </w:r>
            <w:r w:rsidR="005523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</w:t>
            </w:r>
            <w:r w:rsidR="005523E2" w:rsidRPr="005523E2">
              <w:rPr>
                <w:rFonts w:ascii="Times New Roman" w:eastAsia="SimSun" w:hAnsi="Times New Roman" w:cs="Arabic Transparent"/>
                <w:sz w:val="28"/>
                <w:szCs w:val="28"/>
                <w:rtl/>
                <w:lang w:val="en-US" w:eastAsia="zh-CN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دار النشر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السنة</w:t>
            </w:r>
            <w:proofErr w:type="gramEnd"/>
          </w:p>
          <w:p w:rsidR="005523E2" w:rsidRPr="0050480E" w:rsidRDefault="005523E2" w:rsidP="005523E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23E2" w:rsidRPr="005523E2" w:rsidRDefault="005523E2" w:rsidP="00AA662F">
            <w:pPr>
              <w:numPr>
                <w:ilvl w:val="0"/>
                <w:numId w:val="11"/>
              </w:numPr>
              <w:bidi/>
              <w:spacing w:after="0" w:line="240" w:lineRule="auto"/>
              <w:ind w:left="-1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rtl/>
                <w:lang w:val="en-US" w:eastAsia="zh-CN"/>
              </w:rPr>
            </w:pPr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lastRenderedPageBreak/>
              <w:t xml:space="preserve">المعايير الدولية </w:t>
            </w:r>
            <w:proofErr w:type="spellStart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لاعداد</w:t>
            </w:r>
            <w:proofErr w:type="spellEnd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التقارير </w:t>
            </w:r>
            <w:proofErr w:type="gramStart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المالية ،</w:t>
            </w:r>
            <w:proofErr w:type="gramEnd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الجزء </w:t>
            </w:r>
            <w:proofErr w:type="spellStart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أ،إطار</w:t>
            </w:r>
            <w:proofErr w:type="spellEnd"/>
            <w:r w:rsidRPr="00AA662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المفاهيم و المتطلبات </w:t>
            </w:r>
          </w:p>
          <w:p w:rsidR="00C754E5" w:rsidRPr="00F878F4" w:rsidRDefault="00C754E5" w:rsidP="00073230">
            <w:pPr>
              <w:numPr>
                <w:ilvl w:val="0"/>
                <w:numId w:val="10"/>
              </w:numPr>
              <w:bidi/>
              <w:spacing w:after="0" w:line="240" w:lineRule="auto"/>
              <w:ind w:left="-1" w:firstLine="0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523E2" w:rsidRPr="005523E2" w:rsidRDefault="005523E2" w:rsidP="005523E2">
            <w:pPr>
              <w:bidi/>
              <w:spacing w:after="0" w:line="240" w:lineRule="auto"/>
              <w:contextualSpacing/>
              <w:jc w:val="both"/>
              <w:rPr>
                <w:rFonts w:ascii="Times New Roman" w:eastAsia="SimSun" w:hAnsi="Times New Roman" w:cs="Arabic Transparent"/>
                <w:b/>
                <w:sz w:val="28"/>
                <w:szCs w:val="28"/>
                <w:rtl/>
                <w:lang w:eastAsia="zh-CN"/>
              </w:rPr>
            </w:pPr>
            <w:r w:rsidRPr="005523E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،</w:t>
            </w:r>
            <w:proofErr w:type="gramStart"/>
            <w:r w:rsidRPr="005523E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2012 ،</w:t>
            </w:r>
            <w:proofErr w:type="gramEnd"/>
            <w:r w:rsidRPr="005523E2">
              <w:rPr>
                <w:rFonts w:ascii="Times New Roman" w:eastAsia="SimSun" w:hAnsi="Times New Roman" w:cs="Arabic Transparent"/>
                <w:sz w:val="28"/>
                <w:szCs w:val="28"/>
                <w:rtl/>
                <w:lang w:val="en-US" w:eastAsia="zh-CN"/>
              </w:rPr>
              <w:t xml:space="preserve"> </w:t>
            </w:r>
            <w:r w:rsidRPr="005523E2">
              <w:rPr>
                <w:rFonts w:ascii="Times New Roman" w:eastAsia="SimSun" w:hAnsi="Times New Roman" w:cs="Arabic Transparent"/>
                <w:sz w:val="28"/>
                <w:szCs w:val="28"/>
                <w:rtl/>
                <w:lang w:val="en-US" w:eastAsia="zh-CN"/>
              </w:rPr>
              <w:t xml:space="preserve">مجلس معايير المحاسبة الدولية، </w:t>
            </w:r>
          </w:p>
          <w:p w:rsidR="00C754E5" w:rsidRPr="00F878F4" w:rsidRDefault="00C754E5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5523E2" w:rsidP="005523E2">
            <w:pPr>
              <w:tabs>
                <w:tab w:val="left" w:pos="2367"/>
                <w:tab w:val="center" w:pos="5066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23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5523E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جمعية المجمع العربي للمحاسبين القانونيين، عمان الأردن ،2012</w:t>
            </w:r>
          </w:p>
        </w:tc>
      </w:tr>
      <w:tr w:rsidR="00C754E5" w:rsidRPr="0050480E" w:rsidTr="00FF1847">
        <w:trPr>
          <w:trHeight w:val="237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5523E2" w:rsidP="005523E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523E2">
              <w:rPr>
                <w:rFonts w:ascii="Sakkal Majalla" w:hAnsi="Sakkal Majalla" w:cs="Sakkal Majalla"/>
                <w:sz w:val="24"/>
                <w:szCs w:val="24"/>
                <w:rtl/>
              </w:rPr>
              <w:t>القانون رقم07-11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5523E2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523E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الجريدة الرسمية </w:t>
            </w:r>
            <w:proofErr w:type="gramStart"/>
            <w:r w:rsidRPr="005523E2">
              <w:rPr>
                <w:rFonts w:ascii="Sakkal Majalla" w:hAnsi="Sakkal Majalla" w:cs="Sakkal Majalla"/>
                <w:sz w:val="24"/>
                <w:szCs w:val="24"/>
                <w:rtl/>
              </w:rPr>
              <w:t>العدد74</w:t>
            </w:r>
            <w:proofErr w:type="gramEnd"/>
            <w:r w:rsidRPr="005523E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الصادر25 نوفمبر2007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073230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2007</w:t>
            </w: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AA662F" w:rsidP="00AA66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المرسوم رقم 08/156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FB0B60" w:rsidP="00FB0B6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0B6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الجريدة الرسمية </w:t>
            </w:r>
            <w:proofErr w:type="gramStart"/>
            <w:r w:rsidRPr="00FB0B60">
              <w:rPr>
                <w:rFonts w:ascii="Sakkal Majalla" w:hAnsi="Sakkal Majalla" w:cs="Sakkal Majalla"/>
                <w:sz w:val="24"/>
                <w:szCs w:val="24"/>
                <w:rtl/>
              </w:rPr>
              <w:t>العدد27</w:t>
            </w:r>
            <w:proofErr w:type="gramEnd"/>
            <w:r w:rsidRPr="00FB0B6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الصادر28 ماي 2008 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230" w:rsidRPr="00F878F4" w:rsidRDefault="00073230" w:rsidP="00073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2008</w:t>
            </w:r>
          </w:p>
        </w:tc>
      </w:tr>
      <w:tr w:rsidR="00AA662F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B0B60" w:rsidRDefault="00AA662F" w:rsidP="00AA66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لقرار المؤرخ في 26 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جويلية</w:t>
            </w:r>
            <w:proofErr w:type="spellEnd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2008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B0B60" w:rsidRDefault="00AA662F" w:rsidP="00AA662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الجريدة الرسمية </w:t>
            </w:r>
            <w:proofErr w:type="gramStart"/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>العدد19</w:t>
            </w:r>
            <w:proofErr w:type="gramEnd"/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الصادر25 مارس 2009 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230" w:rsidRPr="00F878F4" w:rsidRDefault="00073230" w:rsidP="0007323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2009</w:t>
            </w:r>
            <w:bookmarkStart w:id="0" w:name="_GoBack"/>
            <w:bookmarkEnd w:id="0"/>
          </w:p>
        </w:tc>
      </w:tr>
      <w:tr w:rsidR="00AA662F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B0B60" w:rsidRDefault="00AA662F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>بوتين محمد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B0B60" w:rsidRDefault="00AA662F" w:rsidP="00AA662F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A662F">
              <w:rPr>
                <w:rFonts w:ascii="Sakkal Majalla" w:hAnsi="Sakkal Majalla" w:cs="Sakkal Majalla"/>
                <w:sz w:val="24"/>
                <w:szCs w:val="24"/>
                <w:rtl/>
              </w:rPr>
              <w:t>المحاسبة المالية ومعايير المحاسبة الدولية.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878F4" w:rsidRDefault="00AA662F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2009</w:t>
            </w:r>
          </w:p>
        </w:tc>
      </w:tr>
      <w:tr w:rsidR="00AA662F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B0B60" w:rsidRDefault="00AA662F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هوام جمعة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B0B60" w:rsidRDefault="00AA662F" w:rsidP="00FB0B6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ال</w:t>
            </w:r>
            <w:r w:rsidRPr="005523E2"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محاسبة المعمقة وفق النظام المحاسبي المالي الجديد والمعايير المحاسبية الدولية</w:t>
            </w:r>
            <w:r w:rsidRPr="005523E2">
              <w:rPr>
                <w:rFonts w:ascii="Times New Roman" w:eastAsia="SimSun" w:hAnsi="Times New Roman" w:cs="Arabic Transparent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878F4" w:rsidRDefault="00073230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2010</w:t>
            </w:r>
          </w:p>
        </w:tc>
      </w:tr>
      <w:tr w:rsidR="00AA662F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B0B60" w:rsidRDefault="00073230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523E2"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شعيب شنوف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230" w:rsidRPr="005523E2" w:rsidRDefault="00073230" w:rsidP="00073230">
            <w:pPr>
              <w:bidi/>
              <w:spacing w:after="0" w:line="240" w:lineRule="auto"/>
              <w:ind w:left="-1"/>
              <w:contextualSpacing/>
              <w:rPr>
                <w:rFonts w:ascii="Times New Roman" w:eastAsia="SimSun" w:hAnsi="Times New Roman" w:cs="Arabic Transparent"/>
                <w:sz w:val="28"/>
                <w:szCs w:val="28"/>
                <w:lang w:val="en-US" w:eastAsia="zh-CN"/>
              </w:rPr>
            </w:pPr>
            <w:r w:rsidRPr="005523E2">
              <w:rPr>
                <w:rFonts w:ascii="Times New Roman" w:eastAsia="SimSun" w:hAnsi="Times New Roman" w:cs="Arabic Transparent" w:hint="cs"/>
                <w:sz w:val="28"/>
                <w:szCs w:val="28"/>
                <w:rtl/>
                <w:lang w:val="en-US" w:eastAsia="zh-CN"/>
              </w:rPr>
              <w:t>محاسبة المؤسسة طبقا للمعايير المحاسبية الدولية</w:t>
            </w:r>
            <w:r w:rsidRPr="005523E2">
              <w:rPr>
                <w:rFonts w:ascii="Times New Roman" w:eastAsia="SimSun" w:hAnsi="Times New Roman" w:cs="Arabic Transparent"/>
                <w:sz w:val="28"/>
                <w:szCs w:val="28"/>
                <w:lang w:val="en-US" w:eastAsia="zh-CN"/>
              </w:rPr>
              <w:t>.</w:t>
            </w:r>
          </w:p>
          <w:p w:rsidR="00AA662F" w:rsidRPr="00FB0B60" w:rsidRDefault="00AA662F" w:rsidP="00FB0B6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62F" w:rsidRPr="00F878F4" w:rsidRDefault="00073230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2010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5F1E9A" w:rsidRP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C34721" w:rsidRPr="007B4CA9" w:rsidRDefault="00C34721" w:rsidP="00FB0B60">
            <w:pPr>
              <w:pStyle w:val="Paragraphedeliste"/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45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962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  الرابع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7E03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FF1847">
        <w:trPr>
          <w:trHeight w:val="352"/>
          <w:jc w:val="center"/>
        </w:trPr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FF1847">
        <w:trPr>
          <w:trHeight w:val="371"/>
          <w:jc w:val="center"/>
        </w:trPr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C754E5" w:rsidRPr="0050480E" w:rsidTr="00A5569E">
        <w:trPr>
          <w:trHeight w:val="705"/>
          <w:jc w:val="center"/>
        </w:trPr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A5569E">
        <w:trPr>
          <w:trHeight w:val="1817"/>
          <w:jc w:val="center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59" w:rsidRDefault="00427A59" w:rsidP="00343D69">
      <w:pPr>
        <w:spacing w:after="0" w:line="240" w:lineRule="auto"/>
      </w:pPr>
      <w:r>
        <w:separator/>
      </w:r>
    </w:p>
  </w:endnote>
  <w:endnote w:type="continuationSeparator" w:id="0">
    <w:p w:rsidR="00427A59" w:rsidRDefault="00427A59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9" w:rsidRDefault="00343D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75E23">
      <w:fldChar w:fldCharType="begin"/>
    </w:r>
    <w:r w:rsidR="00B75E23">
      <w:instrText xml:space="preserve"> PAGE   \* MERGEFORMAT </w:instrText>
    </w:r>
    <w:r w:rsidR="00B75E23">
      <w:fldChar w:fldCharType="separate"/>
    </w:r>
    <w:r w:rsidR="00073230" w:rsidRPr="00073230">
      <w:rPr>
        <w:rFonts w:asciiTheme="majorHAnsi" w:hAnsiTheme="majorHAnsi"/>
        <w:noProof/>
      </w:rPr>
      <w:t>4</w:t>
    </w:r>
    <w:r w:rsidR="00B75E23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9" w:rsidRDefault="00343D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59" w:rsidRDefault="00427A59" w:rsidP="00343D69">
      <w:pPr>
        <w:spacing w:after="0" w:line="240" w:lineRule="auto"/>
      </w:pPr>
      <w:r>
        <w:separator/>
      </w:r>
    </w:p>
  </w:footnote>
  <w:footnote w:type="continuationSeparator" w:id="0">
    <w:p w:rsidR="00427A59" w:rsidRDefault="00427A59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9" w:rsidRDefault="00343D6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9" w:rsidRDefault="00343D6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9" w:rsidRDefault="00343D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4B7B"/>
    <w:multiLevelType w:val="hybridMultilevel"/>
    <w:tmpl w:val="D64CE098"/>
    <w:lvl w:ilvl="0" w:tplc="183861F2">
      <w:start w:val="1"/>
      <w:numFmt w:val="decimal"/>
      <w:lvlText w:val="%1-"/>
      <w:lvlJc w:val="left"/>
      <w:pPr>
        <w:ind w:left="3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3D982DDD"/>
    <w:multiLevelType w:val="hybridMultilevel"/>
    <w:tmpl w:val="E82A5002"/>
    <w:lvl w:ilvl="0" w:tplc="D78C8CEE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F539E"/>
    <w:multiLevelType w:val="hybridMultilevel"/>
    <w:tmpl w:val="9A8E9E68"/>
    <w:lvl w:ilvl="0" w:tplc="75D27CAE">
      <w:start w:val="2"/>
      <w:numFmt w:val="bullet"/>
      <w:lvlText w:val="-"/>
      <w:lvlJc w:val="left"/>
      <w:pPr>
        <w:ind w:left="785" w:hanging="360"/>
      </w:pPr>
      <w:rPr>
        <w:rFonts w:ascii="Times New Roman" w:eastAsia="SimSun" w:hAnsi="Times New Roman" w:cs="Arabic Transparent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9"/>
    <w:rsid w:val="00021A1E"/>
    <w:rsid w:val="00026CB3"/>
    <w:rsid w:val="00042834"/>
    <w:rsid w:val="0005403E"/>
    <w:rsid w:val="00073230"/>
    <w:rsid w:val="00080104"/>
    <w:rsid w:val="000A2CC2"/>
    <w:rsid w:val="000D7CD0"/>
    <w:rsid w:val="000F2B30"/>
    <w:rsid w:val="00146791"/>
    <w:rsid w:val="001C12EC"/>
    <w:rsid w:val="002231DE"/>
    <w:rsid w:val="00247AA8"/>
    <w:rsid w:val="0028233F"/>
    <w:rsid w:val="002D32A2"/>
    <w:rsid w:val="002D7413"/>
    <w:rsid w:val="00310431"/>
    <w:rsid w:val="00343D69"/>
    <w:rsid w:val="003636DE"/>
    <w:rsid w:val="00366219"/>
    <w:rsid w:val="00376FE9"/>
    <w:rsid w:val="00427A59"/>
    <w:rsid w:val="00533F74"/>
    <w:rsid w:val="0054299F"/>
    <w:rsid w:val="00544363"/>
    <w:rsid w:val="005523E2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7D1"/>
    <w:rsid w:val="006A5D08"/>
    <w:rsid w:val="00724099"/>
    <w:rsid w:val="007B4CA9"/>
    <w:rsid w:val="007E03C8"/>
    <w:rsid w:val="008D0B93"/>
    <w:rsid w:val="008E08A8"/>
    <w:rsid w:val="008E7CD5"/>
    <w:rsid w:val="009258DC"/>
    <w:rsid w:val="0094783E"/>
    <w:rsid w:val="00981212"/>
    <w:rsid w:val="009D771D"/>
    <w:rsid w:val="009F7D79"/>
    <w:rsid w:val="00A17998"/>
    <w:rsid w:val="00A5569E"/>
    <w:rsid w:val="00A63830"/>
    <w:rsid w:val="00A661FA"/>
    <w:rsid w:val="00A91ADB"/>
    <w:rsid w:val="00AA662F"/>
    <w:rsid w:val="00AE6434"/>
    <w:rsid w:val="00B432F3"/>
    <w:rsid w:val="00B52784"/>
    <w:rsid w:val="00B75E23"/>
    <w:rsid w:val="00BB1046"/>
    <w:rsid w:val="00C25017"/>
    <w:rsid w:val="00C34721"/>
    <w:rsid w:val="00C5263C"/>
    <w:rsid w:val="00C54D69"/>
    <w:rsid w:val="00C730A7"/>
    <w:rsid w:val="00C754E5"/>
    <w:rsid w:val="00C95252"/>
    <w:rsid w:val="00CB2779"/>
    <w:rsid w:val="00D57B68"/>
    <w:rsid w:val="00D84EAE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A4384"/>
    <w:rsid w:val="00FB0B60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A657-D0B5-4C79-804B-717F30D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Hp</cp:lastModifiedBy>
  <cp:revision>7</cp:revision>
  <cp:lastPrinted>2023-02-27T21:31:00Z</cp:lastPrinted>
  <dcterms:created xsi:type="dcterms:W3CDTF">2023-12-03T17:38:00Z</dcterms:created>
  <dcterms:modified xsi:type="dcterms:W3CDTF">2024-11-06T09:33:00Z</dcterms:modified>
</cp:coreProperties>
</file>