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43" w:rsidRDefault="005E0843" w:rsidP="005E0843">
      <w:pPr>
        <w:spacing w:after="0" w:line="240" w:lineRule="auto"/>
        <w:ind w:firstLine="0"/>
        <w:jc w:val="left"/>
        <w:rPr>
          <w:rFonts w:eastAsiaTheme="minorHAnsi"/>
          <w:b/>
          <w:bCs/>
          <w:color w:val="auto"/>
          <w:sz w:val="22"/>
          <w:lang w:eastAsia="en-US"/>
        </w:rPr>
      </w:pPr>
      <w:r>
        <w:rPr>
          <w:rFonts w:eastAsiaTheme="minorHAnsi"/>
          <w:b/>
          <w:bCs/>
          <w:color w:val="auto"/>
          <w:sz w:val="22"/>
          <w:lang w:eastAsia="en-US"/>
        </w:rPr>
        <w:t>A</w:t>
      </w:r>
      <w:r>
        <w:rPr>
          <w:rFonts w:eastAsiaTheme="minorHAnsi"/>
          <w:color w:val="auto"/>
          <w:sz w:val="22"/>
          <w:lang w:eastAsia="en-US"/>
        </w:rPr>
        <w:t>nnée</w:t>
      </w:r>
      <w:r>
        <w:rPr>
          <w:rFonts w:eastAsiaTheme="minorHAnsi"/>
          <w:b/>
          <w:bCs/>
          <w:color w:val="auto"/>
          <w:sz w:val="22"/>
          <w:lang w:eastAsia="en-US"/>
        </w:rPr>
        <w:t xml:space="preserve"> </w:t>
      </w:r>
      <w:proofErr w:type="spellStart"/>
      <w:r>
        <w:rPr>
          <w:rFonts w:eastAsiaTheme="minorHAnsi"/>
          <w:b/>
          <w:bCs/>
          <w:color w:val="auto"/>
          <w:sz w:val="22"/>
          <w:lang w:eastAsia="en-US"/>
        </w:rPr>
        <w:t>u</w:t>
      </w:r>
      <w:r>
        <w:rPr>
          <w:rFonts w:eastAsiaTheme="minorHAnsi"/>
          <w:color w:val="auto"/>
          <w:sz w:val="22"/>
          <w:lang w:eastAsia="en-US"/>
        </w:rPr>
        <w:t>niv</w:t>
      </w:r>
      <w:proofErr w:type="spellEnd"/>
      <w:r>
        <w:rPr>
          <w:rFonts w:eastAsiaTheme="minorHAnsi"/>
          <w:b/>
          <w:bCs/>
          <w:color w:val="auto"/>
          <w:sz w:val="22"/>
          <w:lang w:eastAsia="en-US"/>
        </w:rPr>
        <w:t xml:space="preserve"> :</w:t>
      </w:r>
      <w:r>
        <w:rPr>
          <w:rFonts w:eastAsiaTheme="minorHAnsi"/>
          <w:color w:val="auto"/>
          <w:sz w:val="22"/>
          <w:lang w:eastAsia="en-US"/>
        </w:rPr>
        <w:t>23/24</w:t>
      </w:r>
      <w:r>
        <w:rPr>
          <w:rFonts w:eastAsiaTheme="minorHAnsi"/>
          <w:b/>
          <w:bCs/>
          <w:color w:val="auto"/>
          <w:sz w:val="22"/>
          <w:lang w:eastAsia="en-US"/>
        </w:rPr>
        <w:t xml:space="preserve"> - L1/</w:t>
      </w:r>
      <w:r>
        <w:rPr>
          <w:rFonts w:eastAsiaTheme="minorHAnsi"/>
          <w:color w:val="auto"/>
          <w:sz w:val="22"/>
          <w:lang w:eastAsia="en-US"/>
        </w:rPr>
        <w:t>S-</w:t>
      </w:r>
      <w:proofErr w:type="gramStart"/>
      <w:r>
        <w:rPr>
          <w:rFonts w:eastAsiaTheme="minorHAnsi"/>
          <w:color w:val="auto"/>
          <w:sz w:val="22"/>
          <w:lang w:eastAsia="en-US"/>
        </w:rPr>
        <w:t xml:space="preserve">C  </w:t>
      </w:r>
      <w:r>
        <w:rPr>
          <w:rFonts w:eastAsiaTheme="minorHAnsi"/>
          <w:b/>
          <w:bCs/>
          <w:color w:val="auto"/>
          <w:sz w:val="22"/>
          <w:lang w:eastAsia="en-US"/>
        </w:rPr>
        <w:t>-</w:t>
      </w:r>
      <w:proofErr w:type="gramEnd"/>
      <w:r>
        <w:rPr>
          <w:rFonts w:eastAsiaTheme="minorHAnsi"/>
          <w:b/>
          <w:bCs/>
          <w:color w:val="auto"/>
          <w:sz w:val="22"/>
          <w:lang w:eastAsia="en-US"/>
        </w:rPr>
        <w:t>S:</w:t>
      </w:r>
      <w:r>
        <w:rPr>
          <w:rFonts w:eastAsiaTheme="minorHAnsi"/>
          <w:color w:val="auto"/>
          <w:sz w:val="22"/>
          <w:lang w:eastAsia="en-US"/>
        </w:rPr>
        <w:t>02</w:t>
      </w:r>
      <w:r>
        <w:rPr>
          <w:rFonts w:eastAsiaTheme="minorHAnsi"/>
          <w:b/>
          <w:bCs/>
          <w:color w:val="auto"/>
          <w:sz w:val="22"/>
          <w:lang w:eastAsia="en-US"/>
        </w:rPr>
        <w:t xml:space="preserve">-  </w:t>
      </w:r>
      <w:r>
        <w:rPr>
          <w:rFonts w:eastAsiaTheme="minorHAnsi"/>
          <w:color w:val="auto"/>
          <w:sz w:val="22"/>
          <w:lang w:eastAsia="en-US"/>
        </w:rPr>
        <w:t xml:space="preserve">                   </w:t>
      </w:r>
      <w:r>
        <w:rPr>
          <w:rFonts w:eastAsiaTheme="minorHAnsi"/>
          <w:b/>
          <w:bCs/>
          <w:color w:val="auto"/>
          <w:sz w:val="22"/>
          <w:lang w:eastAsia="en-US"/>
        </w:rPr>
        <w:t>-D</w:t>
      </w:r>
      <w:r>
        <w:rPr>
          <w:rFonts w:eastAsiaTheme="minorHAnsi"/>
          <w:color w:val="auto"/>
          <w:sz w:val="22"/>
          <w:lang w:eastAsia="en-US"/>
        </w:rPr>
        <w:t>urée</w:t>
      </w:r>
      <w:r>
        <w:rPr>
          <w:rFonts w:eastAsiaTheme="minorHAnsi"/>
          <w:b/>
          <w:bCs/>
          <w:color w:val="auto"/>
          <w:sz w:val="22"/>
          <w:lang w:eastAsia="en-US"/>
        </w:rPr>
        <w:t>:</w:t>
      </w:r>
      <w:r>
        <w:rPr>
          <w:rFonts w:eastAsiaTheme="minorHAnsi"/>
          <w:color w:val="auto"/>
          <w:sz w:val="22"/>
          <w:lang w:eastAsia="en-US"/>
        </w:rPr>
        <w:t>01H30    -</w:t>
      </w:r>
      <w:r>
        <w:rPr>
          <w:rFonts w:eastAsiaTheme="minorHAnsi"/>
          <w:b/>
          <w:bCs/>
          <w:color w:val="auto"/>
          <w:sz w:val="22"/>
          <w:lang w:eastAsia="en-US"/>
        </w:rPr>
        <w:t>E</w:t>
      </w:r>
      <w:r>
        <w:rPr>
          <w:rFonts w:eastAsiaTheme="minorHAnsi"/>
          <w:color w:val="auto"/>
          <w:sz w:val="22"/>
          <w:lang w:eastAsia="en-US"/>
        </w:rPr>
        <w:t>nseignant</w:t>
      </w:r>
      <w:r>
        <w:rPr>
          <w:rFonts w:eastAsiaTheme="minorHAnsi"/>
          <w:b/>
          <w:bCs/>
          <w:color w:val="auto"/>
          <w:sz w:val="22"/>
          <w:lang w:eastAsia="en-US"/>
        </w:rPr>
        <w:t>: Dr. A</w:t>
      </w:r>
      <w:r>
        <w:rPr>
          <w:rFonts w:eastAsiaTheme="minorHAnsi"/>
          <w:color w:val="auto"/>
          <w:sz w:val="22"/>
          <w:lang w:eastAsia="en-US"/>
        </w:rPr>
        <w:t>ZZOUZI</w:t>
      </w:r>
      <w:r>
        <w:rPr>
          <w:rFonts w:eastAsiaTheme="minorHAnsi"/>
          <w:b/>
          <w:bCs/>
          <w:color w:val="auto"/>
          <w:sz w:val="22"/>
          <w:lang w:eastAsia="en-US"/>
        </w:rPr>
        <w:t xml:space="preserve">.T  </w:t>
      </w:r>
    </w:p>
    <w:p w:rsidR="005E0843" w:rsidRDefault="005E0843" w:rsidP="005E0843">
      <w:pPr>
        <w:spacing w:after="0" w:line="240" w:lineRule="auto"/>
        <w:ind w:firstLine="0"/>
        <w:jc w:val="left"/>
        <w:rPr>
          <w:rFonts w:eastAsiaTheme="minorHAnsi"/>
          <w:b/>
          <w:bCs/>
          <w:color w:val="auto"/>
          <w:sz w:val="22"/>
          <w:lang w:eastAsia="en-US"/>
        </w:rPr>
      </w:pPr>
    </w:p>
    <w:p w:rsidR="005E0843" w:rsidRDefault="005E0843" w:rsidP="005E0843">
      <w:pPr>
        <w:spacing w:after="0" w:line="240" w:lineRule="auto"/>
        <w:ind w:firstLine="0"/>
        <w:jc w:val="left"/>
        <w:rPr>
          <w:rFonts w:eastAsiaTheme="minorHAnsi"/>
          <w:b/>
          <w:bCs/>
          <w:color w:val="auto"/>
          <w:sz w:val="24"/>
          <w:szCs w:val="24"/>
          <w:lang w:eastAsia="en-US"/>
        </w:rPr>
      </w:pPr>
      <w:r>
        <w:rPr>
          <w:rFonts w:eastAsiaTheme="minorHAnsi"/>
          <w:b/>
          <w:bCs/>
          <w:color w:val="auto"/>
          <w:sz w:val="24"/>
          <w:szCs w:val="24"/>
          <w:lang w:eastAsia="en-US"/>
        </w:rPr>
        <w:t xml:space="preserve">                                                                             </w:t>
      </w:r>
    </w:p>
    <w:p w:rsidR="005E0843" w:rsidRDefault="005E0843" w:rsidP="005E0843">
      <w:pPr>
        <w:spacing w:after="160" w:line="256" w:lineRule="auto"/>
        <w:ind w:firstLine="0"/>
        <w:jc w:val="center"/>
        <w:rPr>
          <w:rFonts w:eastAsiaTheme="minorHAnsi"/>
          <w:b/>
          <w:bCs/>
          <w:color w:val="auto"/>
          <w:szCs w:val="28"/>
          <w:lang w:eastAsia="en-US"/>
        </w:rPr>
      </w:pPr>
      <w:bookmarkStart w:id="0" w:name="_GoBack"/>
      <w:r>
        <w:rPr>
          <w:rFonts w:eastAsiaTheme="minorHAnsi"/>
          <w:b/>
          <w:bCs/>
          <w:color w:val="auto"/>
          <w:szCs w:val="28"/>
          <w:lang w:eastAsia="en-US"/>
        </w:rPr>
        <w:t xml:space="preserve">Corrigé examen de </w:t>
      </w:r>
      <w:r>
        <w:rPr>
          <w:rFonts w:eastAsiaTheme="minorHAnsi"/>
          <w:b/>
          <w:bCs/>
          <w:color w:val="auto"/>
          <w:szCs w:val="28"/>
          <w:lang w:eastAsia="en-US"/>
        </w:rPr>
        <w:t>Rattrapage-série 2-</w:t>
      </w:r>
      <w:r>
        <w:rPr>
          <w:rFonts w:eastAsiaTheme="minorHAnsi"/>
          <w:b/>
          <w:bCs/>
          <w:color w:val="auto"/>
          <w:szCs w:val="28"/>
          <w:lang w:eastAsia="en-US"/>
        </w:rPr>
        <w:t xml:space="preserve"> « Sc</w:t>
      </w:r>
      <w:r>
        <w:rPr>
          <w:rFonts w:eastAsiaTheme="minorHAnsi"/>
          <w:color w:val="auto"/>
          <w:szCs w:val="28"/>
          <w:lang w:eastAsia="en-US"/>
        </w:rPr>
        <w:t>iences</w:t>
      </w:r>
      <w:r>
        <w:rPr>
          <w:rFonts w:eastAsiaTheme="minorHAnsi"/>
          <w:b/>
          <w:bCs/>
          <w:color w:val="auto"/>
          <w:szCs w:val="28"/>
          <w:lang w:eastAsia="en-US"/>
        </w:rPr>
        <w:t xml:space="preserve"> h</w:t>
      </w:r>
      <w:r>
        <w:rPr>
          <w:rFonts w:eastAsiaTheme="minorHAnsi"/>
          <w:color w:val="auto"/>
          <w:szCs w:val="28"/>
          <w:lang w:eastAsia="en-US"/>
        </w:rPr>
        <w:t xml:space="preserve">umaines et </w:t>
      </w:r>
      <w:r>
        <w:rPr>
          <w:rFonts w:eastAsiaTheme="minorHAnsi"/>
          <w:b/>
          <w:bCs/>
          <w:color w:val="auto"/>
          <w:szCs w:val="28"/>
          <w:lang w:eastAsia="en-US"/>
        </w:rPr>
        <w:t>sociales »</w:t>
      </w:r>
    </w:p>
    <w:bookmarkEnd w:id="0"/>
    <w:p w:rsidR="005E0843" w:rsidRDefault="005E0843" w:rsidP="005E0843">
      <w:pPr>
        <w:spacing w:after="160" w:line="256" w:lineRule="auto"/>
        <w:ind w:firstLine="0"/>
        <w:jc w:val="center"/>
        <w:rPr>
          <w:rFonts w:eastAsiaTheme="minorHAnsi"/>
          <w:color w:val="auto"/>
          <w:szCs w:val="28"/>
          <w:lang w:eastAsia="en-US"/>
        </w:rPr>
      </w:pPr>
    </w:p>
    <w:p w:rsidR="005E0843" w:rsidRPr="004C47D1" w:rsidRDefault="005E0843" w:rsidP="005E0843">
      <w:pPr>
        <w:spacing w:after="0" w:line="240" w:lineRule="auto"/>
        <w:rPr>
          <w:sz w:val="24"/>
          <w:szCs w:val="24"/>
        </w:rPr>
      </w:pPr>
      <w:r w:rsidRPr="004C47D1">
        <w:rPr>
          <w:b/>
          <w:bCs/>
          <w:sz w:val="24"/>
          <w:szCs w:val="24"/>
        </w:rPr>
        <w:t>Barème</w:t>
      </w:r>
      <w:r w:rsidRPr="004C47D1">
        <w:rPr>
          <w:sz w:val="24"/>
          <w:szCs w:val="24"/>
        </w:rPr>
        <w:t xml:space="preserve"> : </w:t>
      </w:r>
      <w:r w:rsidRPr="004C47D1">
        <w:rPr>
          <w:b/>
          <w:bCs/>
          <w:sz w:val="24"/>
          <w:szCs w:val="24"/>
        </w:rPr>
        <w:t>20/20</w:t>
      </w:r>
      <w:r w:rsidRPr="004C47D1">
        <w:rPr>
          <w:sz w:val="24"/>
          <w:szCs w:val="24"/>
        </w:rPr>
        <w:t xml:space="preserve"> pts ;</w:t>
      </w:r>
    </w:p>
    <w:p w:rsidR="005E0843" w:rsidRPr="004C47D1" w:rsidRDefault="005E0843" w:rsidP="005E0843">
      <w:pPr>
        <w:pStyle w:val="Paragraphedeliste"/>
        <w:numPr>
          <w:ilvl w:val="0"/>
          <w:numId w:val="1"/>
        </w:numPr>
        <w:spacing w:after="0" w:line="240" w:lineRule="auto"/>
        <w:rPr>
          <w:sz w:val="24"/>
          <w:szCs w:val="24"/>
        </w:rPr>
      </w:pPr>
      <w:r w:rsidRPr="004C47D1">
        <w:rPr>
          <w:b/>
          <w:bCs/>
          <w:sz w:val="24"/>
          <w:szCs w:val="24"/>
        </w:rPr>
        <w:t>Introduction</w:t>
      </w:r>
      <w:r w:rsidRPr="004C47D1">
        <w:rPr>
          <w:sz w:val="24"/>
          <w:szCs w:val="24"/>
        </w:rPr>
        <w:t xml:space="preserve">                                                                            </w:t>
      </w:r>
      <w:proofErr w:type="gramStart"/>
      <w:r w:rsidRPr="004C47D1">
        <w:rPr>
          <w:sz w:val="24"/>
          <w:szCs w:val="24"/>
        </w:rPr>
        <w:t xml:space="preserve">   </w:t>
      </w:r>
      <w:r w:rsidRPr="004C47D1">
        <w:rPr>
          <w:b/>
          <w:bCs/>
          <w:sz w:val="24"/>
          <w:szCs w:val="24"/>
        </w:rPr>
        <w:t>(</w:t>
      </w:r>
      <w:proofErr w:type="gramEnd"/>
      <w:r w:rsidRPr="004C47D1">
        <w:rPr>
          <w:b/>
          <w:bCs/>
          <w:sz w:val="24"/>
          <w:szCs w:val="24"/>
        </w:rPr>
        <w:t>2pts)</w:t>
      </w:r>
    </w:p>
    <w:p w:rsidR="005E0843" w:rsidRPr="004C47D1" w:rsidRDefault="005E0843" w:rsidP="005E0843">
      <w:pPr>
        <w:pStyle w:val="Paragraphedeliste"/>
        <w:numPr>
          <w:ilvl w:val="0"/>
          <w:numId w:val="2"/>
        </w:numPr>
        <w:spacing w:after="0" w:line="240" w:lineRule="auto"/>
        <w:rPr>
          <w:sz w:val="24"/>
          <w:szCs w:val="24"/>
        </w:rPr>
      </w:pPr>
      <w:r w:rsidRPr="004C47D1">
        <w:rPr>
          <w:sz w:val="24"/>
          <w:szCs w:val="24"/>
        </w:rPr>
        <w:t>Présentation du sujet ;</w:t>
      </w:r>
    </w:p>
    <w:p w:rsidR="005E0843" w:rsidRPr="004C47D1" w:rsidRDefault="005E0843" w:rsidP="005E0843">
      <w:pPr>
        <w:pStyle w:val="Paragraphedeliste"/>
        <w:numPr>
          <w:ilvl w:val="0"/>
          <w:numId w:val="2"/>
        </w:numPr>
        <w:spacing w:after="0" w:line="240" w:lineRule="auto"/>
        <w:rPr>
          <w:sz w:val="24"/>
          <w:szCs w:val="24"/>
        </w:rPr>
      </w:pPr>
      <w:r w:rsidRPr="004C47D1">
        <w:rPr>
          <w:sz w:val="24"/>
          <w:szCs w:val="24"/>
        </w:rPr>
        <w:t>Repérage des concepts clés de la citation ;</w:t>
      </w:r>
    </w:p>
    <w:p w:rsidR="005E0843" w:rsidRPr="004C47D1" w:rsidRDefault="005E0843" w:rsidP="005E0843">
      <w:pPr>
        <w:pStyle w:val="Paragraphedeliste"/>
        <w:numPr>
          <w:ilvl w:val="0"/>
          <w:numId w:val="2"/>
        </w:numPr>
        <w:spacing w:after="0" w:line="240" w:lineRule="auto"/>
        <w:rPr>
          <w:sz w:val="24"/>
          <w:szCs w:val="24"/>
        </w:rPr>
      </w:pPr>
      <w:r w:rsidRPr="004C47D1">
        <w:rPr>
          <w:sz w:val="24"/>
          <w:szCs w:val="24"/>
        </w:rPr>
        <w:t>Annonce du plan de la réponse.</w:t>
      </w:r>
    </w:p>
    <w:p w:rsidR="005E0843" w:rsidRPr="004C47D1" w:rsidRDefault="005E0843" w:rsidP="005E0843">
      <w:pPr>
        <w:pStyle w:val="Paragraphedeliste"/>
        <w:numPr>
          <w:ilvl w:val="0"/>
          <w:numId w:val="1"/>
        </w:numPr>
        <w:spacing w:after="0" w:line="240" w:lineRule="auto"/>
        <w:rPr>
          <w:b/>
          <w:bCs/>
          <w:sz w:val="24"/>
          <w:szCs w:val="24"/>
        </w:rPr>
      </w:pPr>
      <w:r w:rsidRPr="004C47D1">
        <w:rPr>
          <w:b/>
          <w:bCs/>
          <w:sz w:val="24"/>
          <w:szCs w:val="24"/>
        </w:rPr>
        <w:t>Développement</w:t>
      </w:r>
      <w:r w:rsidRPr="004C47D1">
        <w:rPr>
          <w:sz w:val="24"/>
          <w:szCs w:val="24"/>
        </w:rPr>
        <w:t xml:space="preserve"> en 2 ou 3 partie                                            </w:t>
      </w:r>
      <w:proofErr w:type="gramStart"/>
      <w:r w:rsidRPr="004C47D1">
        <w:rPr>
          <w:sz w:val="24"/>
          <w:szCs w:val="24"/>
        </w:rPr>
        <w:t xml:space="preserve">   </w:t>
      </w:r>
      <w:r w:rsidRPr="004C47D1">
        <w:rPr>
          <w:b/>
          <w:bCs/>
          <w:sz w:val="24"/>
          <w:szCs w:val="24"/>
        </w:rPr>
        <w:t>(</w:t>
      </w:r>
      <w:proofErr w:type="gramEnd"/>
      <w:r w:rsidRPr="004C47D1">
        <w:rPr>
          <w:b/>
          <w:bCs/>
          <w:sz w:val="24"/>
          <w:szCs w:val="24"/>
        </w:rPr>
        <w:t>08pts)</w:t>
      </w:r>
    </w:p>
    <w:p w:rsidR="005E0843" w:rsidRPr="004C47D1" w:rsidRDefault="005E0843" w:rsidP="005E0843">
      <w:pPr>
        <w:pStyle w:val="Paragraphedeliste"/>
        <w:numPr>
          <w:ilvl w:val="0"/>
          <w:numId w:val="3"/>
        </w:numPr>
        <w:spacing w:after="0" w:line="240" w:lineRule="auto"/>
        <w:rPr>
          <w:sz w:val="24"/>
          <w:szCs w:val="24"/>
        </w:rPr>
      </w:pPr>
      <w:r w:rsidRPr="004C47D1">
        <w:rPr>
          <w:sz w:val="24"/>
          <w:szCs w:val="24"/>
        </w:rPr>
        <w:t>Définition(s) ;</w:t>
      </w:r>
    </w:p>
    <w:p w:rsidR="005E0843" w:rsidRPr="004C47D1" w:rsidRDefault="005E0843" w:rsidP="005E0843">
      <w:pPr>
        <w:pStyle w:val="Paragraphedeliste"/>
        <w:numPr>
          <w:ilvl w:val="0"/>
          <w:numId w:val="3"/>
        </w:numPr>
        <w:spacing w:after="0" w:line="240" w:lineRule="auto"/>
        <w:rPr>
          <w:sz w:val="24"/>
          <w:szCs w:val="24"/>
        </w:rPr>
      </w:pPr>
      <w:r w:rsidRPr="004C47D1">
        <w:rPr>
          <w:sz w:val="24"/>
          <w:szCs w:val="24"/>
        </w:rPr>
        <w:t xml:space="preserve">Cerner </w:t>
      </w:r>
      <w:r w:rsidRPr="004C47D1">
        <w:rPr>
          <w:rFonts w:eastAsia="Verdana"/>
          <w:sz w:val="24"/>
          <w:szCs w:val="24"/>
        </w:rPr>
        <w:t xml:space="preserve">le rapport des sciences de l'éducation et de la pédagogie </w:t>
      </w:r>
      <w:r w:rsidRPr="004C47D1">
        <w:rPr>
          <w:sz w:val="24"/>
          <w:szCs w:val="24"/>
        </w:rPr>
        <w:t>en donnant des exemples ;</w:t>
      </w:r>
    </w:p>
    <w:p w:rsidR="005E0843" w:rsidRPr="004C47D1" w:rsidRDefault="005E0843" w:rsidP="005E0843">
      <w:pPr>
        <w:pStyle w:val="Paragraphedeliste"/>
        <w:numPr>
          <w:ilvl w:val="0"/>
          <w:numId w:val="3"/>
        </w:numPr>
        <w:spacing w:after="0" w:line="240" w:lineRule="auto"/>
        <w:rPr>
          <w:sz w:val="24"/>
          <w:szCs w:val="24"/>
        </w:rPr>
      </w:pPr>
      <w:r w:rsidRPr="004C47D1">
        <w:rPr>
          <w:sz w:val="24"/>
          <w:szCs w:val="24"/>
        </w:rPr>
        <w:t>Illustration / consolidation.</w:t>
      </w:r>
    </w:p>
    <w:p w:rsidR="005E0843" w:rsidRPr="004C47D1" w:rsidRDefault="005E0843" w:rsidP="005E0843">
      <w:pPr>
        <w:pStyle w:val="Paragraphedeliste"/>
        <w:numPr>
          <w:ilvl w:val="0"/>
          <w:numId w:val="1"/>
        </w:numPr>
        <w:rPr>
          <w:b/>
          <w:bCs/>
          <w:sz w:val="24"/>
          <w:szCs w:val="24"/>
        </w:rPr>
      </w:pPr>
      <w:r w:rsidRPr="004C47D1">
        <w:rPr>
          <w:b/>
          <w:bCs/>
          <w:sz w:val="24"/>
          <w:szCs w:val="24"/>
        </w:rPr>
        <w:t xml:space="preserve">Conclusion </w:t>
      </w:r>
      <w:r w:rsidRPr="004C47D1">
        <w:rPr>
          <w:sz w:val="24"/>
          <w:szCs w:val="24"/>
        </w:rPr>
        <w:t xml:space="preserve">                                                                           </w:t>
      </w:r>
      <w:proofErr w:type="gramStart"/>
      <w:r w:rsidRPr="004C47D1">
        <w:rPr>
          <w:sz w:val="24"/>
          <w:szCs w:val="24"/>
        </w:rPr>
        <w:t xml:space="preserve">   </w:t>
      </w:r>
      <w:r w:rsidRPr="004C47D1">
        <w:rPr>
          <w:b/>
          <w:bCs/>
          <w:sz w:val="24"/>
          <w:szCs w:val="24"/>
        </w:rPr>
        <w:t>(</w:t>
      </w:r>
      <w:proofErr w:type="gramEnd"/>
      <w:r w:rsidRPr="004C47D1">
        <w:rPr>
          <w:b/>
          <w:bCs/>
          <w:sz w:val="24"/>
          <w:szCs w:val="24"/>
        </w:rPr>
        <w:t>02pts)</w:t>
      </w:r>
    </w:p>
    <w:p w:rsidR="005E0843" w:rsidRPr="004C47D1" w:rsidRDefault="005E0843" w:rsidP="005E0843">
      <w:pPr>
        <w:pStyle w:val="Paragraphedeliste"/>
        <w:ind w:left="1008" w:firstLine="0"/>
        <w:rPr>
          <w:sz w:val="24"/>
          <w:szCs w:val="24"/>
        </w:rPr>
      </w:pPr>
      <w:r w:rsidRPr="004C47D1">
        <w:rPr>
          <w:sz w:val="24"/>
          <w:szCs w:val="24"/>
        </w:rPr>
        <w:t>Récapitulation du cheminement des idées apposées dans l’introduction et présentées dans le développement.</w:t>
      </w:r>
    </w:p>
    <w:p w:rsidR="005E0843" w:rsidRPr="004C47D1" w:rsidRDefault="005E0843" w:rsidP="005E0843">
      <w:pPr>
        <w:pStyle w:val="Paragraphedeliste"/>
        <w:numPr>
          <w:ilvl w:val="0"/>
          <w:numId w:val="1"/>
        </w:numPr>
        <w:rPr>
          <w:sz w:val="24"/>
          <w:szCs w:val="24"/>
        </w:rPr>
      </w:pPr>
      <w:r w:rsidRPr="004C47D1">
        <w:rPr>
          <w:b/>
          <w:bCs/>
          <w:sz w:val="24"/>
          <w:szCs w:val="24"/>
        </w:rPr>
        <w:t>A retenir</w:t>
      </w:r>
      <w:r w:rsidRPr="004C47D1">
        <w:rPr>
          <w:sz w:val="24"/>
          <w:szCs w:val="24"/>
        </w:rPr>
        <w:t xml:space="preserve"> (la </w:t>
      </w:r>
      <w:r w:rsidRPr="004C47D1">
        <w:rPr>
          <w:b/>
          <w:bCs/>
          <w:sz w:val="24"/>
          <w:szCs w:val="24"/>
        </w:rPr>
        <w:t>forme</w:t>
      </w:r>
      <w:r w:rsidRPr="004C47D1">
        <w:rPr>
          <w:sz w:val="24"/>
          <w:szCs w:val="24"/>
        </w:rPr>
        <w:t xml:space="preserve">):                                                            </w:t>
      </w:r>
      <w:proofErr w:type="gramStart"/>
      <w:r w:rsidRPr="004C47D1">
        <w:rPr>
          <w:sz w:val="24"/>
          <w:szCs w:val="24"/>
        </w:rPr>
        <w:t xml:space="preserve">   </w:t>
      </w:r>
      <w:r w:rsidRPr="004C47D1">
        <w:rPr>
          <w:b/>
          <w:bCs/>
          <w:sz w:val="24"/>
          <w:szCs w:val="24"/>
        </w:rPr>
        <w:t>(</w:t>
      </w:r>
      <w:proofErr w:type="gramEnd"/>
      <w:r w:rsidRPr="004C47D1">
        <w:rPr>
          <w:b/>
          <w:bCs/>
          <w:sz w:val="24"/>
          <w:szCs w:val="24"/>
        </w:rPr>
        <w:t xml:space="preserve">08 pts)                                                              </w:t>
      </w:r>
    </w:p>
    <w:p w:rsidR="005E0843" w:rsidRPr="004C47D1" w:rsidRDefault="005E0843" w:rsidP="005E0843">
      <w:pPr>
        <w:pStyle w:val="Paragraphedeliste"/>
        <w:numPr>
          <w:ilvl w:val="0"/>
          <w:numId w:val="4"/>
        </w:numPr>
        <w:rPr>
          <w:sz w:val="24"/>
          <w:szCs w:val="24"/>
        </w:rPr>
      </w:pPr>
      <w:r w:rsidRPr="004C47D1">
        <w:rPr>
          <w:sz w:val="24"/>
          <w:szCs w:val="24"/>
        </w:rPr>
        <w:t>Usage et pertinence de la langue ;</w:t>
      </w:r>
    </w:p>
    <w:p w:rsidR="005E0843" w:rsidRPr="004C47D1" w:rsidRDefault="005E0843" w:rsidP="005E0843">
      <w:pPr>
        <w:pStyle w:val="Paragraphedeliste"/>
        <w:numPr>
          <w:ilvl w:val="0"/>
          <w:numId w:val="4"/>
        </w:numPr>
        <w:rPr>
          <w:sz w:val="24"/>
          <w:szCs w:val="24"/>
        </w:rPr>
      </w:pPr>
      <w:r w:rsidRPr="004C47D1">
        <w:rPr>
          <w:sz w:val="24"/>
          <w:szCs w:val="24"/>
        </w:rPr>
        <w:t>Cohérence</w:t>
      </w:r>
    </w:p>
    <w:p w:rsidR="005E0843" w:rsidRPr="004C47D1" w:rsidRDefault="005E0843" w:rsidP="005E0843">
      <w:pPr>
        <w:pStyle w:val="Paragraphedeliste"/>
        <w:numPr>
          <w:ilvl w:val="0"/>
          <w:numId w:val="4"/>
        </w:numPr>
        <w:rPr>
          <w:sz w:val="24"/>
          <w:szCs w:val="24"/>
        </w:rPr>
      </w:pPr>
      <w:r w:rsidRPr="004C47D1">
        <w:rPr>
          <w:sz w:val="24"/>
          <w:szCs w:val="24"/>
        </w:rPr>
        <w:t>Eléments de transition entre les différentes parties de réponse ;</w:t>
      </w:r>
    </w:p>
    <w:p w:rsidR="005E0843" w:rsidRPr="004C47D1" w:rsidRDefault="005E0843" w:rsidP="005E0843">
      <w:pPr>
        <w:pStyle w:val="Paragraphedeliste"/>
        <w:numPr>
          <w:ilvl w:val="0"/>
          <w:numId w:val="4"/>
        </w:numPr>
        <w:rPr>
          <w:sz w:val="24"/>
          <w:szCs w:val="24"/>
        </w:rPr>
      </w:pPr>
      <w:r w:rsidRPr="004C47D1">
        <w:rPr>
          <w:sz w:val="24"/>
          <w:szCs w:val="24"/>
        </w:rPr>
        <w:t>Illustrations et citations.</w:t>
      </w:r>
    </w:p>
    <w:p w:rsidR="005E0843" w:rsidRDefault="005E0843" w:rsidP="005E0843">
      <w:pPr>
        <w:spacing w:after="0" w:line="276" w:lineRule="auto"/>
        <w:ind w:firstLine="0"/>
        <w:jc w:val="left"/>
        <w:rPr>
          <w:sz w:val="24"/>
          <w:szCs w:val="24"/>
        </w:rPr>
      </w:pPr>
      <w:r>
        <w:rPr>
          <w:b/>
          <w:bCs/>
          <w:sz w:val="24"/>
          <w:szCs w:val="24"/>
        </w:rPr>
        <w:t>Ph</w:t>
      </w:r>
      <w:r>
        <w:rPr>
          <w:sz w:val="24"/>
          <w:szCs w:val="24"/>
        </w:rPr>
        <w:t xml:space="preserve">ilippe </w:t>
      </w:r>
      <w:r>
        <w:rPr>
          <w:b/>
          <w:bCs/>
          <w:sz w:val="24"/>
          <w:szCs w:val="24"/>
        </w:rPr>
        <w:t>M</w:t>
      </w:r>
      <w:r>
        <w:rPr>
          <w:sz w:val="24"/>
          <w:szCs w:val="24"/>
        </w:rPr>
        <w:t xml:space="preserve">EIRIEU « Certes, les </w:t>
      </w:r>
      <w:r>
        <w:rPr>
          <w:b/>
          <w:bCs/>
          <w:sz w:val="24"/>
          <w:szCs w:val="24"/>
        </w:rPr>
        <w:t>sciences de l'éducation</w:t>
      </w:r>
      <w:r>
        <w:rPr>
          <w:sz w:val="24"/>
          <w:szCs w:val="24"/>
        </w:rPr>
        <w:t xml:space="preserve"> apportent, chacune en son champ, des moissons de faits vérifiables. Mais la </w:t>
      </w:r>
      <w:r>
        <w:rPr>
          <w:b/>
          <w:bCs/>
          <w:sz w:val="24"/>
          <w:szCs w:val="24"/>
        </w:rPr>
        <w:t>pédagogie</w:t>
      </w:r>
      <w:r>
        <w:rPr>
          <w:sz w:val="24"/>
          <w:szCs w:val="24"/>
        </w:rPr>
        <w:t xml:space="preserve"> n'est pas, tant s'en faut, la science de l'éducation. Elle est une </w:t>
      </w:r>
      <w:r>
        <w:rPr>
          <w:b/>
          <w:bCs/>
          <w:sz w:val="24"/>
          <w:szCs w:val="24"/>
        </w:rPr>
        <w:t>pratique</w:t>
      </w:r>
      <w:r>
        <w:rPr>
          <w:sz w:val="24"/>
          <w:szCs w:val="24"/>
        </w:rPr>
        <w:t xml:space="preserve"> de la décision concernant cette dernière. L'incertitude est donc son lot. Incertitude conjoncturelle, augmentée par la mobilité parfois vertigineuse des repères contemporains, mais incertitude essentielle dès lors qu'une </w:t>
      </w:r>
      <w:r>
        <w:rPr>
          <w:b/>
          <w:bCs/>
          <w:sz w:val="24"/>
          <w:szCs w:val="24"/>
        </w:rPr>
        <w:t xml:space="preserve">connaissance </w:t>
      </w:r>
      <w:r>
        <w:rPr>
          <w:sz w:val="24"/>
          <w:szCs w:val="24"/>
        </w:rPr>
        <w:t xml:space="preserve">et une </w:t>
      </w:r>
      <w:r>
        <w:rPr>
          <w:b/>
          <w:bCs/>
          <w:sz w:val="24"/>
          <w:szCs w:val="24"/>
        </w:rPr>
        <w:t>action</w:t>
      </w:r>
      <w:r>
        <w:rPr>
          <w:sz w:val="24"/>
          <w:szCs w:val="24"/>
        </w:rPr>
        <w:t xml:space="preserve"> sont à conjoindre dans une </w:t>
      </w:r>
      <w:r>
        <w:rPr>
          <w:b/>
          <w:bCs/>
          <w:sz w:val="24"/>
          <w:szCs w:val="24"/>
        </w:rPr>
        <w:t>théorie de la pratique</w:t>
      </w:r>
      <w:r>
        <w:rPr>
          <w:sz w:val="24"/>
          <w:szCs w:val="24"/>
        </w:rPr>
        <w:t>. »</w:t>
      </w:r>
    </w:p>
    <w:p w:rsidR="005E0843" w:rsidRDefault="005E0843" w:rsidP="005E0843">
      <w:pPr>
        <w:spacing w:after="0" w:line="276" w:lineRule="auto"/>
        <w:ind w:firstLine="0"/>
        <w:jc w:val="left"/>
        <w:rPr>
          <w:b/>
          <w:bCs/>
          <w:sz w:val="24"/>
          <w:szCs w:val="24"/>
        </w:rPr>
      </w:pPr>
    </w:p>
    <w:p w:rsidR="005E0843" w:rsidRDefault="005E0843" w:rsidP="005E0843">
      <w:pPr>
        <w:spacing w:after="0" w:line="276" w:lineRule="auto"/>
        <w:ind w:left="-15" w:right="-13" w:firstLine="0"/>
        <w:rPr>
          <w:rFonts w:eastAsia="Verdana"/>
          <w:sz w:val="24"/>
          <w:szCs w:val="24"/>
        </w:rPr>
      </w:pPr>
      <w:r>
        <w:rPr>
          <w:rFonts w:eastAsia="Verdana"/>
          <w:b/>
          <w:bCs/>
          <w:sz w:val="24"/>
          <w:szCs w:val="24"/>
        </w:rPr>
        <w:t>Le rapport</w:t>
      </w:r>
      <w:r>
        <w:rPr>
          <w:rFonts w:eastAsia="Verdana"/>
          <w:sz w:val="24"/>
          <w:szCs w:val="24"/>
        </w:rPr>
        <w:t xml:space="preserve"> des sciences de l'éducation et de la pédagogie n'est pas simple et la réflexion sur ce rapport est, plus que jamais, d'actualité. Seule cette réflexion bien conduite peut nous permettre, en effet, d'espérer dépasser les polémiques stériles qui se sont développées, depuis quelques années autour de cette question et qui, tout en absorbant une énergie considérable, contribuent très largement à "brouiller les cartes" dans le champ éducatif.</w:t>
      </w:r>
    </w:p>
    <w:p w:rsidR="005E0843" w:rsidRDefault="005E0843" w:rsidP="005E0843">
      <w:pPr>
        <w:spacing w:after="0" w:line="276" w:lineRule="auto"/>
        <w:ind w:left="-15" w:right="-13" w:firstLine="0"/>
        <w:rPr>
          <w:rFonts w:eastAsia="Verdana"/>
          <w:sz w:val="24"/>
          <w:szCs w:val="24"/>
        </w:rPr>
      </w:pPr>
    </w:p>
    <w:p w:rsidR="005E0843" w:rsidRDefault="005E0843" w:rsidP="005E0843">
      <w:pPr>
        <w:spacing w:after="0" w:line="276" w:lineRule="auto"/>
        <w:ind w:left="-15" w:right="-13" w:firstLine="0"/>
        <w:rPr>
          <w:rFonts w:eastAsia="Verdana"/>
          <w:sz w:val="24"/>
          <w:szCs w:val="24"/>
        </w:rPr>
      </w:pPr>
      <w:r>
        <w:rPr>
          <w:rFonts w:eastAsia="Verdana"/>
          <w:b/>
          <w:bCs/>
          <w:sz w:val="24"/>
          <w:szCs w:val="24"/>
        </w:rPr>
        <w:t>La "fonction pédagogique</w:t>
      </w:r>
      <w:r>
        <w:rPr>
          <w:rFonts w:eastAsia="Verdana"/>
          <w:sz w:val="24"/>
          <w:szCs w:val="24"/>
        </w:rPr>
        <w:t xml:space="preserve">" n'est pas, aujourd'hui, devenue désuète, dans la mesure où il s'agit toujours - plus que jamais ? de savoir quel homme nous voulons former et comment nous pouvons y parvenir. Car, s'il est, de toute évidence, un phénomène majeur qui caractérise la modernité, c'est bien l'effondrement des grandes "théories de référence" qui permettaient de "fonder" l'éducation et évitaient de trop avoir à s'interroger sur les questions pédagogiques... En effet, quand il existait, dans une société, une "vérité révélée", reconnue </w:t>
      </w:r>
      <w:proofErr w:type="spellStart"/>
      <w:r>
        <w:rPr>
          <w:rFonts w:eastAsia="Verdana"/>
          <w:sz w:val="24"/>
          <w:szCs w:val="24"/>
        </w:rPr>
        <w:t>consensuellement</w:t>
      </w:r>
      <w:proofErr w:type="spellEnd"/>
      <w:r>
        <w:rPr>
          <w:rFonts w:eastAsia="Verdana"/>
          <w:sz w:val="24"/>
          <w:szCs w:val="24"/>
        </w:rPr>
        <w:t xml:space="preserve"> ou </w:t>
      </w:r>
      <w:r>
        <w:rPr>
          <w:rFonts w:eastAsia="Verdana"/>
          <w:sz w:val="24"/>
          <w:szCs w:val="24"/>
        </w:rPr>
        <w:lastRenderedPageBreak/>
        <w:t xml:space="preserve">imposée par un pouvoir quelconque - que cette "vérité" soit d'ordre mythologique, théologique, philosophique ou politique -, on savait "à quoi et comment éduquer les enfants". La question de savoir </w:t>
      </w:r>
      <w:r>
        <w:rPr>
          <w:rFonts w:eastAsia="Verdana"/>
          <w:i/>
          <w:sz w:val="24"/>
          <w:szCs w:val="24"/>
        </w:rPr>
        <w:t>"</w:t>
      </w:r>
      <w:r>
        <w:rPr>
          <w:rFonts w:eastAsia="Verdana"/>
          <w:b/>
          <w:bCs/>
          <w:i/>
          <w:sz w:val="24"/>
          <w:szCs w:val="24"/>
        </w:rPr>
        <w:t>à quelles valeurs, à quels savoirs et par quelles méthodes élever nos enfants ? "</w:t>
      </w:r>
      <w:r>
        <w:rPr>
          <w:rFonts w:eastAsia="Verdana"/>
          <w:sz w:val="24"/>
          <w:szCs w:val="24"/>
        </w:rPr>
        <w:t>est devenue, tout à la fois, une question majeure pour nos institutions publiques et une question "privée" à laquelle se trouve confronté tout éducateur... à laquelle il doit nécessairement répondre - au moins implicitement- dès qu'il a "un enfant sur les bras". Et, sauf à nous précipiter dans de nouveaux "systèmes de pensée" susceptibles de nous apporter des réponses toutes faites - tentation sans cesse renaissante et dont la montée actuelle de multiples formes d'intégrismes est un signe inquiétant-nous sommes « condamnés » à la réflexion pédagogique"... ne serait-ce que pour avoir quelque idée sur ce que nous voulons pour nos enfants !</w:t>
      </w:r>
    </w:p>
    <w:p w:rsidR="005E0843" w:rsidRDefault="005E0843" w:rsidP="005E0843">
      <w:pPr>
        <w:spacing w:after="0" w:line="276" w:lineRule="auto"/>
        <w:ind w:left="-15" w:right="-13" w:firstLine="0"/>
        <w:rPr>
          <w:rFonts w:eastAsia="Verdana"/>
          <w:sz w:val="24"/>
          <w:szCs w:val="24"/>
        </w:rPr>
      </w:pPr>
    </w:p>
    <w:p w:rsidR="005E0843" w:rsidRDefault="005E0843" w:rsidP="005E0843">
      <w:pPr>
        <w:spacing w:after="0" w:line="276" w:lineRule="auto"/>
        <w:ind w:left="-15" w:right="-13" w:firstLine="698"/>
        <w:rPr>
          <w:rFonts w:eastAsia="Verdana"/>
          <w:sz w:val="24"/>
          <w:szCs w:val="24"/>
        </w:rPr>
      </w:pPr>
      <w:r>
        <w:rPr>
          <w:rFonts w:eastAsia="Verdana"/>
          <w:sz w:val="24"/>
          <w:szCs w:val="24"/>
        </w:rPr>
        <w:t xml:space="preserve">On considère, en général, </w:t>
      </w:r>
      <w:r>
        <w:rPr>
          <w:rFonts w:eastAsia="Verdana"/>
          <w:b/>
          <w:bCs/>
          <w:sz w:val="24"/>
          <w:szCs w:val="24"/>
        </w:rPr>
        <w:t>R</w:t>
      </w:r>
      <w:r>
        <w:rPr>
          <w:rFonts w:eastAsia="Verdana"/>
          <w:sz w:val="24"/>
          <w:szCs w:val="24"/>
        </w:rPr>
        <w:t>ousseau comme le premier des pédagogues de l'époque moderne et c'est, tout à la fois, vrai et faux : c'est vrai parce que Rousseau est, sans doute, le premier à avoir insisté sur la nécessité d'accompagner l'enfant dans son développement, de stimuler systématiquement sa curiosité et de le mettre en situation de construire lui-même ses connaissances plutôt que de les recevoir passivement ;</w:t>
      </w:r>
    </w:p>
    <w:p w:rsidR="005E0843" w:rsidRDefault="005E0843" w:rsidP="005E0843">
      <w:pPr>
        <w:spacing w:after="0" w:line="276" w:lineRule="auto"/>
        <w:ind w:left="-15" w:right="-13" w:firstLine="698"/>
        <w:rPr>
          <w:rFonts w:eastAsia="Verdana"/>
          <w:sz w:val="24"/>
          <w:szCs w:val="24"/>
        </w:rPr>
      </w:pPr>
    </w:p>
    <w:p w:rsidR="005E0843" w:rsidRDefault="005E0843" w:rsidP="005E0843">
      <w:pPr>
        <w:spacing w:after="0" w:line="276" w:lineRule="auto"/>
        <w:ind w:left="-15" w:right="-13" w:firstLine="698"/>
        <w:rPr>
          <w:rFonts w:eastAsia="Verdana"/>
          <w:sz w:val="24"/>
          <w:szCs w:val="24"/>
        </w:rPr>
      </w:pPr>
      <w:r>
        <w:rPr>
          <w:rFonts w:eastAsia="Verdana"/>
          <w:sz w:val="24"/>
          <w:szCs w:val="24"/>
        </w:rPr>
        <w:t xml:space="preserve">Et c'est aussi ce qu'on peut entendre dans les discours, plus contemporains, de Freinet ou de Montessori : le même souci de proposer des méthodes et des attitudes éducatives qui permettent à l'enfant de grandir librement pour mieux s'associer à ses semblables dans une relation nouvelle où la violence et l'arbitraire ne régiraient plus les rapports entre les hommes. </w:t>
      </w:r>
    </w:p>
    <w:p w:rsidR="005E0843" w:rsidRDefault="005E0843" w:rsidP="005E0843">
      <w:pPr>
        <w:spacing w:after="0" w:line="276" w:lineRule="auto"/>
        <w:ind w:left="-15" w:right="-13" w:firstLine="698"/>
        <w:rPr>
          <w:rFonts w:eastAsia="Verdana"/>
          <w:sz w:val="24"/>
          <w:szCs w:val="24"/>
        </w:rPr>
      </w:pPr>
    </w:p>
    <w:p w:rsidR="005E0843" w:rsidRDefault="005E0843" w:rsidP="005E0843">
      <w:pPr>
        <w:spacing w:after="0" w:line="276" w:lineRule="auto"/>
        <w:ind w:left="-15" w:right="-13" w:firstLine="698"/>
        <w:rPr>
          <w:rFonts w:eastAsia="Verdana"/>
          <w:sz w:val="24"/>
          <w:szCs w:val="24"/>
        </w:rPr>
      </w:pPr>
      <w:r>
        <w:rPr>
          <w:rFonts w:eastAsia="Verdana"/>
          <w:sz w:val="24"/>
          <w:szCs w:val="24"/>
        </w:rPr>
        <w:t xml:space="preserve">Bien sûr, ces pédagogues proposent des </w:t>
      </w:r>
      <w:r>
        <w:rPr>
          <w:rFonts w:eastAsia="Verdana"/>
          <w:b/>
          <w:bCs/>
          <w:sz w:val="24"/>
          <w:szCs w:val="24"/>
        </w:rPr>
        <w:t>outils</w:t>
      </w:r>
      <w:r>
        <w:rPr>
          <w:rFonts w:eastAsia="Verdana"/>
          <w:sz w:val="24"/>
          <w:szCs w:val="24"/>
        </w:rPr>
        <w:t>, inventent du "</w:t>
      </w:r>
      <w:r>
        <w:rPr>
          <w:rFonts w:eastAsia="Verdana"/>
          <w:i/>
          <w:iCs/>
          <w:sz w:val="24"/>
          <w:szCs w:val="24"/>
        </w:rPr>
        <w:t>matériel pédagogique</w:t>
      </w:r>
      <w:r>
        <w:rPr>
          <w:rFonts w:eastAsia="Verdana"/>
          <w:sz w:val="24"/>
          <w:szCs w:val="24"/>
        </w:rPr>
        <w:t xml:space="preserve">", mais ils le font toujours dans une </w:t>
      </w:r>
      <w:r>
        <w:rPr>
          <w:rFonts w:eastAsia="Verdana"/>
          <w:b/>
          <w:bCs/>
          <w:sz w:val="24"/>
          <w:szCs w:val="24"/>
        </w:rPr>
        <w:t>perspective globale</w:t>
      </w:r>
      <w:r>
        <w:rPr>
          <w:rFonts w:eastAsia="Verdana"/>
          <w:sz w:val="24"/>
          <w:szCs w:val="24"/>
        </w:rPr>
        <w:t xml:space="preserve"> et leurs outils ne sont pas de simples technologies, ce sont des moyens au service d'une fin qu'ils ne cessent de rappeler et dont ils montrent toujours qu'elle doit s'incarner dans des attitudes profondes de l'</w:t>
      </w:r>
      <w:r>
        <w:rPr>
          <w:rFonts w:eastAsia="Verdana"/>
          <w:b/>
          <w:bCs/>
          <w:sz w:val="24"/>
          <w:szCs w:val="24"/>
        </w:rPr>
        <w:t>éducateur</w:t>
      </w:r>
      <w:r>
        <w:rPr>
          <w:rFonts w:eastAsia="Verdana"/>
          <w:sz w:val="24"/>
          <w:szCs w:val="24"/>
        </w:rPr>
        <w:t xml:space="preserve"> sans lesquelles ces outils ne seraient que des coquilles vides ou, pire, de dangereux instruments de dressage.</w:t>
      </w:r>
    </w:p>
    <w:p w:rsidR="005E0843" w:rsidRDefault="005E0843" w:rsidP="005E0843">
      <w:pPr>
        <w:spacing w:after="0" w:line="276" w:lineRule="auto"/>
        <w:ind w:left="-15" w:right="-13" w:firstLine="698"/>
        <w:rPr>
          <w:rFonts w:eastAsia="Verdana"/>
          <w:sz w:val="24"/>
          <w:szCs w:val="24"/>
        </w:rPr>
      </w:pPr>
    </w:p>
    <w:p w:rsidR="005E0843" w:rsidRDefault="005E0843" w:rsidP="005E0843">
      <w:pPr>
        <w:spacing w:after="0" w:line="276" w:lineRule="auto"/>
        <w:ind w:left="-15" w:right="-13" w:firstLine="0"/>
        <w:rPr>
          <w:rFonts w:eastAsia="Verdana"/>
          <w:sz w:val="24"/>
          <w:szCs w:val="24"/>
        </w:rPr>
      </w:pPr>
      <w:r>
        <w:rPr>
          <w:rFonts w:eastAsia="Verdana"/>
          <w:sz w:val="24"/>
          <w:szCs w:val="24"/>
        </w:rPr>
        <w:t xml:space="preserve">On s'aperçoit cependant très vite qu'à elle seule la psychologie ne permettait pas de comprendre l'ensemble des éléments qui entrent en ligne de compte dans le développement de l'enfant : on découvrit l'importance de la sociologie, de l'anthropologie, de la linguistique, de l'économie ou de l'histoire. Les départements de "sciences de l'éducation" furent donc créés, entre 1967 et 1970, avec comme perspective de réunir autour d'un objet de travail commun - l'éducation - des spécialistes émanant de </w:t>
      </w:r>
      <w:r>
        <w:rPr>
          <w:rFonts w:eastAsia="Verdana"/>
          <w:b/>
          <w:bCs/>
          <w:sz w:val="24"/>
          <w:szCs w:val="24"/>
        </w:rPr>
        <w:t>différentes disciplines scientifiques</w:t>
      </w:r>
      <w:r>
        <w:rPr>
          <w:rFonts w:eastAsia="Verdana"/>
          <w:sz w:val="24"/>
          <w:szCs w:val="24"/>
        </w:rPr>
        <w:t xml:space="preserve"> déjà constituées. Les recherches menées dans ces départements devaient permettre une </w:t>
      </w:r>
      <w:r>
        <w:rPr>
          <w:rFonts w:eastAsia="Verdana"/>
          <w:b/>
          <w:bCs/>
          <w:sz w:val="24"/>
          <w:szCs w:val="24"/>
        </w:rPr>
        <w:t>approche plurielle et plus complète</w:t>
      </w:r>
      <w:r>
        <w:rPr>
          <w:rFonts w:eastAsia="Verdana"/>
          <w:sz w:val="24"/>
          <w:szCs w:val="24"/>
        </w:rPr>
        <w:t xml:space="preserve"> des </w:t>
      </w:r>
      <w:r>
        <w:rPr>
          <w:rFonts w:eastAsia="Verdana"/>
          <w:i/>
          <w:iCs/>
          <w:sz w:val="24"/>
          <w:szCs w:val="24"/>
        </w:rPr>
        <w:t>réalités éducatives</w:t>
      </w:r>
      <w:r>
        <w:rPr>
          <w:rFonts w:eastAsia="Verdana"/>
          <w:sz w:val="24"/>
          <w:szCs w:val="24"/>
        </w:rPr>
        <w:t>, grâce à la collaboration des chercheurs et à la formation pluridisciplinaire acquise par certains d'entre eux. Ces recherches devaient se soumettre normalement à l'administration de la preuve, garante de leur scientificité.</w:t>
      </w:r>
    </w:p>
    <w:p w:rsidR="005E0843" w:rsidRDefault="005E0843" w:rsidP="005E0843">
      <w:pPr>
        <w:rPr>
          <w:sz w:val="24"/>
          <w:szCs w:val="24"/>
        </w:rPr>
      </w:pPr>
    </w:p>
    <w:p w:rsidR="002D6742" w:rsidRPr="005E0843" w:rsidRDefault="005E0843" w:rsidP="005E0843">
      <w:pPr>
        <w:jc w:val="center"/>
        <w:rPr>
          <w:b/>
          <w:bCs/>
        </w:rPr>
      </w:pPr>
      <w:r w:rsidRPr="004C47D1">
        <w:rPr>
          <w:b/>
          <w:bCs/>
        </w:rPr>
        <w:t>Bonne chance</w:t>
      </w:r>
    </w:p>
    <w:sectPr w:rsidR="002D6742" w:rsidRPr="005E0843" w:rsidSect="00394160">
      <w:headerReference w:type="first" r:id="rId7"/>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9B" w:rsidRDefault="00EE269B" w:rsidP="005E0843">
      <w:pPr>
        <w:spacing w:after="0" w:line="240" w:lineRule="auto"/>
      </w:pPr>
      <w:r>
        <w:separator/>
      </w:r>
    </w:p>
  </w:endnote>
  <w:endnote w:type="continuationSeparator" w:id="0">
    <w:p w:rsidR="00EE269B" w:rsidRDefault="00EE269B" w:rsidP="005E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9B" w:rsidRDefault="00EE269B" w:rsidP="005E0843">
      <w:pPr>
        <w:spacing w:after="0" w:line="240" w:lineRule="auto"/>
      </w:pPr>
      <w:r>
        <w:separator/>
      </w:r>
    </w:p>
  </w:footnote>
  <w:footnote w:type="continuationSeparator" w:id="0">
    <w:p w:rsidR="00EE269B" w:rsidRDefault="00EE269B" w:rsidP="005E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43" w:rsidRPr="005E0843" w:rsidRDefault="005E0843" w:rsidP="005E0843">
    <w:pPr>
      <w:tabs>
        <w:tab w:val="center" w:pos="4536"/>
        <w:tab w:val="right" w:pos="9072"/>
      </w:tabs>
      <w:spacing w:after="0" w:line="240" w:lineRule="auto"/>
      <w:jc w:val="center"/>
      <w:rPr>
        <w:rFonts w:eastAsiaTheme="minorHAnsi"/>
        <w:sz w:val="16"/>
        <w:szCs w:val="16"/>
      </w:rPr>
    </w:pPr>
    <w:r w:rsidRPr="005E0843">
      <w:rPr>
        <w:rFonts w:eastAsiaTheme="minorHAnsi"/>
        <w:sz w:val="16"/>
        <w:szCs w:val="16"/>
      </w:rPr>
      <w:t>République Algérienne Démocratique et Populaire</w:t>
    </w:r>
  </w:p>
  <w:p w:rsidR="005E0843" w:rsidRPr="005E0843" w:rsidRDefault="005E0843" w:rsidP="005E0843">
    <w:pPr>
      <w:tabs>
        <w:tab w:val="center" w:pos="4536"/>
        <w:tab w:val="right" w:pos="9072"/>
      </w:tabs>
      <w:spacing w:after="0" w:line="240" w:lineRule="auto"/>
      <w:jc w:val="center"/>
      <w:rPr>
        <w:rFonts w:eastAsiaTheme="minorHAnsi"/>
        <w:sz w:val="16"/>
        <w:szCs w:val="16"/>
      </w:rPr>
    </w:pPr>
    <w:r w:rsidRPr="005E0843">
      <w:rPr>
        <w:rFonts w:eastAsiaTheme="minorHAnsi"/>
        <w:sz w:val="16"/>
        <w:szCs w:val="16"/>
      </w:rPr>
      <w:t>Ministère de l’Enseignement Supérieur et de la Recherche Scientifique Centre universitaire Mila</w:t>
    </w:r>
  </w:p>
  <w:p w:rsidR="005E0843" w:rsidRPr="005E0843" w:rsidRDefault="005E0843" w:rsidP="005E0843">
    <w:pPr>
      <w:tabs>
        <w:tab w:val="center" w:pos="4536"/>
        <w:tab w:val="right" w:pos="9072"/>
      </w:tabs>
      <w:spacing w:after="0" w:line="240" w:lineRule="auto"/>
      <w:jc w:val="center"/>
      <w:rPr>
        <w:rFonts w:eastAsiaTheme="minorHAnsi"/>
      </w:rPr>
    </w:pPr>
    <w:r w:rsidRPr="005E0843">
      <w:rPr>
        <w:rFonts w:eastAsiaTheme="minorHAnsi"/>
        <w:sz w:val="16"/>
        <w:szCs w:val="16"/>
      </w:rPr>
      <w:t>Institut des lettres et des langues /Département de français</w:t>
    </w:r>
  </w:p>
  <w:p w:rsidR="005E0843" w:rsidRPr="005E0843" w:rsidRDefault="005E0843" w:rsidP="005E0843">
    <w:pPr>
      <w:tabs>
        <w:tab w:val="center" w:pos="4536"/>
        <w:tab w:val="right" w:pos="9072"/>
      </w:tabs>
      <w:spacing w:after="0" w:line="240" w:lineRule="auto"/>
      <w:jc w:val="center"/>
    </w:pPr>
  </w:p>
  <w:p w:rsidR="005E0843" w:rsidRDefault="005E0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start w:val="1"/>
      <w:numFmt w:val="bullet"/>
      <w:lvlText w:val="o"/>
      <w:lvlJc w:val="left"/>
      <w:pPr>
        <w:ind w:left="2448" w:hanging="360"/>
      </w:pPr>
      <w:rPr>
        <w:rFonts w:ascii="Courier New" w:hAnsi="Courier New" w:cs="Courier New" w:hint="default"/>
      </w:rPr>
    </w:lvl>
    <w:lvl w:ilvl="2" w:tplc="040C0005">
      <w:start w:val="1"/>
      <w:numFmt w:val="bullet"/>
      <w:lvlText w:val=""/>
      <w:lvlJc w:val="left"/>
      <w:pPr>
        <w:ind w:left="3168" w:hanging="360"/>
      </w:pPr>
      <w:rPr>
        <w:rFonts w:ascii="Wingdings" w:hAnsi="Wingdings" w:hint="default"/>
      </w:rPr>
    </w:lvl>
    <w:lvl w:ilvl="3" w:tplc="040C0001">
      <w:start w:val="1"/>
      <w:numFmt w:val="bullet"/>
      <w:lvlText w:val=""/>
      <w:lvlJc w:val="left"/>
      <w:pPr>
        <w:ind w:left="3888" w:hanging="360"/>
      </w:pPr>
      <w:rPr>
        <w:rFonts w:ascii="Symbol" w:hAnsi="Symbol" w:hint="default"/>
      </w:rPr>
    </w:lvl>
    <w:lvl w:ilvl="4" w:tplc="040C0003">
      <w:start w:val="1"/>
      <w:numFmt w:val="bullet"/>
      <w:lvlText w:val="o"/>
      <w:lvlJc w:val="left"/>
      <w:pPr>
        <w:ind w:left="4608" w:hanging="360"/>
      </w:pPr>
      <w:rPr>
        <w:rFonts w:ascii="Courier New" w:hAnsi="Courier New" w:cs="Courier New" w:hint="default"/>
      </w:rPr>
    </w:lvl>
    <w:lvl w:ilvl="5" w:tplc="040C0005">
      <w:start w:val="1"/>
      <w:numFmt w:val="bullet"/>
      <w:lvlText w:val=""/>
      <w:lvlJc w:val="left"/>
      <w:pPr>
        <w:ind w:left="5328" w:hanging="360"/>
      </w:pPr>
      <w:rPr>
        <w:rFonts w:ascii="Wingdings" w:hAnsi="Wingdings" w:hint="default"/>
      </w:rPr>
    </w:lvl>
    <w:lvl w:ilvl="6" w:tplc="040C0001">
      <w:start w:val="1"/>
      <w:numFmt w:val="bullet"/>
      <w:lvlText w:val=""/>
      <w:lvlJc w:val="left"/>
      <w:pPr>
        <w:ind w:left="6048" w:hanging="360"/>
      </w:pPr>
      <w:rPr>
        <w:rFonts w:ascii="Symbol" w:hAnsi="Symbol" w:hint="default"/>
      </w:rPr>
    </w:lvl>
    <w:lvl w:ilvl="7" w:tplc="040C0003">
      <w:start w:val="1"/>
      <w:numFmt w:val="bullet"/>
      <w:lvlText w:val="o"/>
      <w:lvlJc w:val="left"/>
      <w:pPr>
        <w:ind w:left="6768" w:hanging="360"/>
      </w:pPr>
      <w:rPr>
        <w:rFonts w:ascii="Courier New" w:hAnsi="Courier New" w:cs="Courier New" w:hint="default"/>
      </w:rPr>
    </w:lvl>
    <w:lvl w:ilvl="8" w:tplc="040C0005">
      <w:start w:val="1"/>
      <w:numFmt w:val="bullet"/>
      <w:lvlText w:val=""/>
      <w:lvlJc w:val="left"/>
      <w:pPr>
        <w:ind w:left="7488" w:hanging="360"/>
      </w:pPr>
      <w:rPr>
        <w:rFonts w:ascii="Wingdings" w:hAnsi="Wingdings" w:hint="default"/>
      </w:rPr>
    </w:lvl>
  </w:abstractNum>
  <w:abstractNum w:abstractNumId="1"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start w:val="1"/>
      <w:numFmt w:val="bullet"/>
      <w:lvlText w:val="o"/>
      <w:lvlJc w:val="left"/>
      <w:pPr>
        <w:ind w:left="2448" w:hanging="360"/>
      </w:pPr>
      <w:rPr>
        <w:rFonts w:ascii="Courier New" w:hAnsi="Courier New" w:cs="Courier New" w:hint="default"/>
      </w:rPr>
    </w:lvl>
    <w:lvl w:ilvl="2" w:tplc="040C0005">
      <w:start w:val="1"/>
      <w:numFmt w:val="bullet"/>
      <w:lvlText w:val=""/>
      <w:lvlJc w:val="left"/>
      <w:pPr>
        <w:ind w:left="3168" w:hanging="360"/>
      </w:pPr>
      <w:rPr>
        <w:rFonts w:ascii="Wingdings" w:hAnsi="Wingdings" w:hint="default"/>
      </w:rPr>
    </w:lvl>
    <w:lvl w:ilvl="3" w:tplc="040C0001">
      <w:start w:val="1"/>
      <w:numFmt w:val="bullet"/>
      <w:lvlText w:val=""/>
      <w:lvlJc w:val="left"/>
      <w:pPr>
        <w:ind w:left="3888" w:hanging="360"/>
      </w:pPr>
      <w:rPr>
        <w:rFonts w:ascii="Symbol" w:hAnsi="Symbol" w:hint="default"/>
      </w:rPr>
    </w:lvl>
    <w:lvl w:ilvl="4" w:tplc="040C0003">
      <w:start w:val="1"/>
      <w:numFmt w:val="bullet"/>
      <w:lvlText w:val="o"/>
      <w:lvlJc w:val="left"/>
      <w:pPr>
        <w:ind w:left="4608" w:hanging="360"/>
      </w:pPr>
      <w:rPr>
        <w:rFonts w:ascii="Courier New" w:hAnsi="Courier New" w:cs="Courier New" w:hint="default"/>
      </w:rPr>
    </w:lvl>
    <w:lvl w:ilvl="5" w:tplc="040C0005">
      <w:start w:val="1"/>
      <w:numFmt w:val="bullet"/>
      <w:lvlText w:val=""/>
      <w:lvlJc w:val="left"/>
      <w:pPr>
        <w:ind w:left="5328" w:hanging="360"/>
      </w:pPr>
      <w:rPr>
        <w:rFonts w:ascii="Wingdings" w:hAnsi="Wingdings" w:hint="default"/>
      </w:rPr>
    </w:lvl>
    <w:lvl w:ilvl="6" w:tplc="040C0001">
      <w:start w:val="1"/>
      <w:numFmt w:val="bullet"/>
      <w:lvlText w:val=""/>
      <w:lvlJc w:val="left"/>
      <w:pPr>
        <w:ind w:left="6048" w:hanging="360"/>
      </w:pPr>
      <w:rPr>
        <w:rFonts w:ascii="Symbol" w:hAnsi="Symbol" w:hint="default"/>
      </w:rPr>
    </w:lvl>
    <w:lvl w:ilvl="7" w:tplc="040C0003">
      <w:start w:val="1"/>
      <w:numFmt w:val="bullet"/>
      <w:lvlText w:val="o"/>
      <w:lvlJc w:val="left"/>
      <w:pPr>
        <w:ind w:left="6768" w:hanging="360"/>
      </w:pPr>
      <w:rPr>
        <w:rFonts w:ascii="Courier New" w:hAnsi="Courier New" w:cs="Courier New" w:hint="default"/>
      </w:rPr>
    </w:lvl>
    <w:lvl w:ilvl="8" w:tplc="040C0005">
      <w:start w:val="1"/>
      <w:numFmt w:val="bullet"/>
      <w:lvlText w:val=""/>
      <w:lvlJc w:val="left"/>
      <w:pPr>
        <w:ind w:left="7488" w:hanging="360"/>
      </w:pPr>
      <w:rPr>
        <w:rFonts w:ascii="Wingdings" w:hAnsi="Wingdings" w:hint="default"/>
      </w:rPr>
    </w:lvl>
  </w:abstractNum>
  <w:abstractNum w:abstractNumId="2" w15:restartNumberingAfterBreak="0">
    <w:nsid w:val="4F8205C6"/>
    <w:multiLevelType w:val="hybridMultilevel"/>
    <w:tmpl w:val="D0F24EDC"/>
    <w:lvl w:ilvl="0" w:tplc="A8D0AA6E">
      <w:start w:val="1"/>
      <w:numFmt w:val="bullet"/>
      <w:lvlText w:val=""/>
      <w:lvlJc w:val="left"/>
      <w:pPr>
        <w:ind w:left="1008" w:hanging="360"/>
      </w:pPr>
      <w:rPr>
        <w:rFonts w:ascii="Wingdings" w:hAnsi="Wingdings"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3"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start w:val="1"/>
      <w:numFmt w:val="bullet"/>
      <w:lvlText w:val="o"/>
      <w:lvlJc w:val="left"/>
      <w:pPr>
        <w:ind w:left="2448" w:hanging="360"/>
      </w:pPr>
      <w:rPr>
        <w:rFonts w:ascii="Courier New" w:hAnsi="Courier New" w:cs="Courier New" w:hint="default"/>
      </w:rPr>
    </w:lvl>
    <w:lvl w:ilvl="2" w:tplc="040C0005">
      <w:start w:val="1"/>
      <w:numFmt w:val="bullet"/>
      <w:lvlText w:val=""/>
      <w:lvlJc w:val="left"/>
      <w:pPr>
        <w:ind w:left="3168" w:hanging="360"/>
      </w:pPr>
      <w:rPr>
        <w:rFonts w:ascii="Wingdings" w:hAnsi="Wingdings" w:hint="default"/>
      </w:rPr>
    </w:lvl>
    <w:lvl w:ilvl="3" w:tplc="040C0001">
      <w:start w:val="1"/>
      <w:numFmt w:val="bullet"/>
      <w:lvlText w:val=""/>
      <w:lvlJc w:val="left"/>
      <w:pPr>
        <w:ind w:left="3888" w:hanging="360"/>
      </w:pPr>
      <w:rPr>
        <w:rFonts w:ascii="Symbol" w:hAnsi="Symbol" w:hint="default"/>
      </w:rPr>
    </w:lvl>
    <w:lvl w:ilvl="4" w:tplc="040C0003">
      <w:start w:val="1"/>
      <w:numFmt w:val="bullet"/>
      <w:lvlText w:val="o"/>
      <w:lvlJc w:val="left"/>
      <w:pPr>
        <w:ind w:left="4608" w:hanging="360"/>
      </w:pPr>
      <w:rPr>
        <w:rFonts w:ascii="Courier New" w:hAnsi="Courier New" w:cs="Courier New" w:hint="default"/>
      </w:rPr>
    </w:lvl>
    <w:lvl w:ilvl="5" w:tplc="040C0005">
      <w:start w:val="1"/>
      <w:numFmt w:val="bullet"/>
      <w:lvlText w:val=""/>
      <w:lvlJc w:val="left"/>
      <w:pPr>
        <w:ind w:left="5328" w:hanging="360"/>
      </w:pPr>
      <w:rPr>
        <w:rFonts w:ascii="Wingdings" w:hAnsi="Wingdings" w:hint="default"/>
      </w:rPr>
    </w:lvl>
    <w:lvl w:ilvl="6" w:tplc="040C0001">
      <w:start w:val="1"/>
      <w:numFmt w:val="bullet"/>
      <w:lvlText w:val=""/>
      <w:lvlJc w:val="left"/>
      <w:pPr>
        <w:ind w:left="6048" w:hanging="360"/>
      </w:pPr>
      <w:rPr>
        <w:rFonts w:ascii="Symbol" w:hAnsi="Symbol" w:hint="default"/>
      </w:rPr>
    </w:lvl>
    <w:lvl w:ilvl="7" w:tplc="040C0003">
      <w:start w:val="1"/>
      <w:numFmt w:val="bullet"/>
      <w:lvlText w:val="o"/>
      <w:lvlJc w:val="left"/>
      <w:pPr>
        <w:ind w:left="6768" w:hanging="360"/>
      </w:pPr>
      <w:rPr>
        <w:rFonts w:ascii="Courier New" w:hAnsi="Courier New" w:cs="Courier New" w:hint="default"/>
      </w:rPr>
    </w:lvl>
    <w:lvl w:ilvl="8" w:tplc="040C0005">
      <w:start w:val="1"/>
      <w:numFmt w:val="bullet"/>
      <w:lvlText w:val=""/>
      <w:lvlJc w:val="left"/>
      <w:pPr>
        <w:ind w:left="74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43"/>
    <w:rsid w:val="002D6742"/>
    <w:rsid w:val="00394160"/>
    <w:rsid w:val="005E0843"/>
    <w:rsid w:val="00EE26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D288"/>
  <w15:chartTrackingRefBased/>
  <w15:docId w15:val="{AB3F63BC-CBF8-411B-8F4C-3226DF70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843"/>
    <w:pPr>
      <w:spacing w:after="357" w:line="254" w:lineRule="auto"/>
      <w:ind w:firstLine="288"/>
      <w:jc w:val="both"/>
    </w:pPr>
    <w:rPr>
      <w:rFonts w:ascii="Times New Roman" w:eastAsia="Times New Roman" w:hAnsi="Times New Roman" w:cs="Times New Roman"/>
      <w:color w:val="000000"/>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0843"/>
    <w:pPr>
      <w:tabs>
        <w:tab w:val="center" w:pos="4536"/>
        <w:tab w:val="right" w:pos="9072"/>
      </w:tabs>
      <w:spacing w:after="0" w:line="240" w:lineRule="auto"/>
    </w:pPr>
  </w:style>
  <w:style w:type="character" w:customStyle="1" w:styleId="En-tteCar">
    <w:name w:val="En-tête Car"/>
    <w:basedOn w:val="Policepardfaut"/>
    <w:link w:val="En-tte"/>
    <w:uiPriority w:val="99"/>
    <w:rsid w:val="005E0843"/>
  </w:style>
  <w:style w:type="paragraph" w:styleId="Pieddepage">
    <w:name w:val="footer"/>
    <w:basedOn w:val="Normal"/>
    <w:link w:val="PieddepageCar"/>
    <w:uiPriority w:val="99"/>
    <w:unhideWhenUsed/>
    <w:rsid w:val="005E0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843"/>
  </w:style>
  <w:style w:type="paragraph" w:styleId="Paragraphedeliste">
    <w:name w:val="List Paragraph"/>
    <w:basedOn w:val="Normal"/>
    <w:uiPriority w:val="34"/>
    <w:qFormat/>
    <w:rsid w:val="005E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897</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1</cp:revision>
  <dcterms:created xsi:type="dcterms:W3CDTF">2024-06-14T16:07:00Z</dcterms:created>
  <dcterms:modified xsi:type="dcterms:W3CDTF">2024-06-14T16:10:00Z</dcterms:modified>
</cp:coreProperties>
</file>