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6"/>
        <w:gridCol w:w="2112"/>
        <w:gridCol w:w="3630"/>
      </w:tblGrid>
      <w:tr w:rsidR="0004670A" w:rsidRPr="00DF681B" w:rsidTr="00BF651A">
        <w:tc>
          <w:tcPr>
            <w:tcW w:w="4644" w:type="dxa"/>
          </w:tcPr>
          <w:p w:rsidR="0004670A" w:rsidRPr="00DF681B" w:rsidRDefault="0004670A" w:rsidP="00BF651A">
            <w:pPr>
              <w:pStyle w:val="En-tte"/>
              <w:rPr>
                <w:b/>
                <w:bCs/>
              </w:rPr>
            </w:pPr>
            <w:r w:rsidRPr="00DF681B">
              <w:rPr>
                <w:b/>
                <w:bCs/>
              </w:rPr>
              <w:t>CENTRE UNIVERSITAIRE ABDELHAAFID BOUSSOUF-MILA</w:t>
            </w:r>
          </w:p>
          <w:p w:rsidR="0004670A" w:rsidRPr="00DF681B" w:rsidRDefault="0004670A" w:rsidP="00BF651A">
            <w:pPr>
              <w:pStyle w:val="En-tte"/>
              <w:rPr>
                <w:b/>
                <w:bCs/>
              </w:rPr>
            </w:pPr>
            <w:r w:rsidRPr="00DF681B">
              <w:rPr>
                <w:b/>
                <w:bCs/>
              </w:rPr>
              <w:t>DOMAINE DES LETTRES ET LANGUES ETRANGERES</w:t>
            </w:r>
          </w:p>
          <w:p w:rsidR="0004670A" w:rsidRPr="00DF681B" w:rsidRDefault="000A20AE" w:rsidP="00BF651A">
            <w:pPr>
              <w:pStyle w:val="En-tte"/>
              <w:rPr>
                <w:b/>
                <w:bCs/>
              </w:rPr>
            </w:pPr>
            <w:r>
              <w:rPr>
                <w:b/>
                <w:bCs/>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130.1pt;margin-top:48.75pt;width:191.95pt;height:65.3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w:txbxContent>
                      <w:p w:rsidR="0004670A" w:rsidRPr="004472D0" w:rsidRDefault="0004670A" w:rsidP="0004670A">
                        <w:pPr>
                          <w:jc w:val="center"/>
                          <w:rPr>
                            <w:rFonts w:ascii="Copperplate Gothic Bold" w:hAnsi="Copperplate Gothic Bold"/>
                            <w:b/>
                            <w:bCs/>
                            <w:sz w:val="28"/>
                            <w:szCs w:val="28"/>
                          </w:rPr>
                        </w:pPr>
                        <w:r>
                          <w:rPr>
                            <w:rFonts w:ascii="Copperplate Gothic Bold" w:hAnsi="Copperplate Gothic Bold"/>
                            <w:b/>
                            <w:bCs/>
                            <w:sz w:val="28"/>
                            <w:szCs w:val="28"/>
                          </w:rPr>
                          <w:t>Traduction et interprétariat</w:t>
                        </w:r>
                      </w:p>
                    </w:txbxContent>
                  </v:textbox>
                </v:shape>
              </w:pict>
            </w:r>
            <w:r w:rsidR="0004670A" w:rsidRPr="00DF681B">
              <w:rPr>
                <w:b/>
                <w:bCs/>
              </w:rPr>
              <w:t xml:space="preserve">Filière : Langue Française  </w:t>
            </w:r>
          </w:p>
        </w:tc>
        <w:tc>
          <w:tcPr>
            <w:tcW w:w="2268" w:type="dxa"/>
          </w:tcPr>
          <w:p w:rsidR="0004670A" w:rsidRPr="00DF681B" w:rsidRDefault="0004670A" w:rsidP="00BF651A">
            <w:pPr>
              <w:pStyle w:val="En-tte"/>
            </w:pPr>
            <w:r w:rsidRPr="00DF681B">
              <w:rPr>
                <w:noProof/>
                <w:lang w:eastAsia="fr-FR"/>
              </w:rPr>
              <w:drawing>
                <wp:inline distT="0" distB="0" distL="0" distR="0">
                  <wp:extent cx="1020725" cy="956930"/>
                  <wp:effectExtent l="0" t="0" r="825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7600" cy="954000"/>
                          </a:xfrm>
                          <a:prstGeom prst="rect">
                            <a:avLst/>
                          </a:prstGeom>
                        </pic:spPr>
                      </pic:pic>
                    </a:graphicData>
                  </a:graphic>
                </wp:inline>
              </w:drawing>
            </w:r>
          </w:p>
        </w:tc>
        <w:tc>
          <w:tcPr>
            <w:tcW w:w="4000" w:type="dxa"/>
          </w:tcPr>
          <w:p w:rsidR="0004670A" w:rsidRPr="00DF681B" w:rsidRDefault="0004670A" w:rsidP="00BF651A">
            <w:pPr>
              <w:pStyle w:val="En-tte"/>
              <w:rPr>
                <w:b/>
                <w:bCs/>
              </w:rPr>
            </w:pPr>
            <w:r w:rsidRPr="00DF681B">
              <w:rPr>
                <w:b/>
                <w:bCs/>
              </w:rPr>
              <w:t xml:space="preserve">Module assuré par : </w:t>
            </w:r>
            <w:proofErr w:type="spellStart"/>
            <w:r>
              <w:rPr>
                <w:b/>
                <w:bCs/>
              </w:rPr>
              <w:t>dre</w:t>
            </w:r>
            <w:proofErr w:type="spellEnd"/>
            <w:r>
              <w:rPr>
                <w:b/>
                <w:bCs/>
              </w:rPr>
              <w:t xml:space="preserve">. </w:t>
            </w:r>
            <w:proofErr w:type="spellStart"/>
            <w:r>
              <w:rPr>
                <w:b/>
                <w:bCs/>
              </w:rPr>
              <w:t>Boucherit</w:t>
            </w:r>
            <w:proofErr w:type="spellEnd"/>
            <w:r>
              <w:rPr>
                <w:b/>
                <w:bCs/>
              </w:rPr>
              <w:t xml:space="preserve"> </w:t>
            </w:r>
            <w:r w:rsidRPr="00DF681B">
              <w:rPr>
                <w:b/>
                <w:bCs/>
              </w:rPr>
              <w:t xml:space="preserve">Contact : </w:t>
            </w:r>
            <w:r>
              <w:t>jawhara.boucherit@gmail.com</w:t>
            </w:r>
          </w:p>
          <w:p w:rsidR="0004670A" w:rsidRPr="00DF681B" w:rsidRDefault="0004670A" w:rsidP="0004670A">
            <w:pPr>
              <w:pStyle w:val="En-tte"/>
              <w:rPr>
                <w:b/>
                <w:bCs/>
              </w:rPr>
            </w:pPr>
            <w:r w:rsidRPr="00DF681B">
              <w:rPr>
                <w:b/>
                <w:bCs/>
              </w:rPr>
              <w:t xml:space="preserve">Cours </w:t>
            </w:r>
            <w:r>
              <w:rPr>
                <w:b/>
                <w:bCs/>
              </w:rPr>
              <w:t>3</w:t>
            </w:r>
          </w:p>
          <w:p w:rsidR="0004670A" w:rsidRPr="00DF681B" w:rsidRDefault="0004670A" w:rsidP="00BF651A">
            <w:pPr>
              <w:pStyle w:val="En-tte"/>
              <w:rPr>
                <w:b/>
                <w:bCs/>
              </w:rPr>
            </w:pPr>
            <w:r w:rsidRPr="00DF681B">
              <w:rPr>
                <w:b/>
                <w:bCs/>
              </w:rPr>
              <w:t xml:space="preserve">Durée : </w:t>
            </w:r>
            <w:r>
              <w:rPr>
                <w:rFonts w:hint="cs"/>
                <w:b/>
                <w:bCs/>
                <w:rtl/>
              </w:rPr>
              <w:t>1</w:t>
            </w:r>
            <w:r w:rsidRPr="00DF681B">
              <w:rPr>
                <w:b/>
                <w:bCs/>
              </w:rPr>
              <w:t>heure</w:t>
            </w:r>
            <w:r>
              <w:rPr>
                <w:b/>
                <w:bCs/>
              </w:rPr>
              <w:t xml:space="preserve"> 30min</w:t>
            </w:r>
          </w:p>
          <w:p w:rsidR="0004670A" w:rsidRDefault="0004670A" w:rsidP="001D111F">
            <w:pPr>
              <w:pStyle w:val="En-tte"/>
              <w:rPr>
                <w:b/>
                <w:bCs/>
              </w:rPr>
            </w:pPr>
            <w:r w:rsidRPr="00DF681B">
              <w:rPr>
                <w:b/>
                <w:bCs/>
              </w:rPr>
              <w:t>Cours d</w:t>
            </w:r>
            <w:r>
              <w:rPr>
                <w:b/>
                <w:bCs/>
              </w:rPr>
              <w:t xml:space="preserve">estiné aux étudiants du </w:t>
            </w:r>
            <w:r w:rsidR="001D111F">
              <w:rPr>
                <w:b/>
                <w:bCs/>
              </w:rPr>
              <w:t>1MSDL</w:t>
            </w:r>
          </w:p>
          <w:p w:rsidR="0004670A" w:rsidRDefault="0004670A" w:rsidP="00BF651A">
            <w:pPr>
              <w:pStyle w:val="En-tte"/>
              <w:rPr>
                <w:b/>
                <w:bCs/>
              </w:rPr>
            </w:pPr>
          </w:p>
          <w:p w:rsidR="0004670A" w:rsidRPr="00DF681B" w:rsidRDefault="0004670A" w:rsidP="00BF651A">
            <w:pPr>
              <w:pStyle w:val="En-tte"/>
            </w:pPr>
          </w:p>
        </w:tc>
      </w:tr>
    </w:tbl>
    <w:p w:rsidR="0004670A" w:rsidRDefault="0004670A" w:rsidP="0004670A"/>
    <w:p w:rsidR="0004670A" w:rsidRPr="000F78BB" w:rsidRDefault="0004670A" w:rsidP="0004670A"/>
    <w:p w:rsidR="0004670A" w:rsidRDefault="0004670A" w:rsidP="0004670A"/>
    <w:p w:rsidR="0004670A" w:rsidRDefault="0004670A" w:rsidP="0004670A">
      <w:pPr>
        <w:jc w:val="center"/>
        <w:rPr>
          <w:rFonts w:asciiTheme="majorBidi" w:hAnsiTheme="majorBidi" w:cstheme="majorBidi"/>
          <w:b/>
          <w:bCs/>
          <w:sz w:val="24"/>
          <w:szCs w:val="24"/>
          <w:rtl/>
        </w:rPr>
      </w:pPr>
      <w:r w:rsidRPr="00C7518B">
        <w:rPr>
          <w:rFonts w:asciiTheme="majorBidi" w:hAnsiTheme="majorBidi" w:cstheme="majorBidi"/>
          <w:b/>
          <w:bCs/>
          <w:sz w:val="24"/>
          <w:szCs w:val="24"/>
        </w:rPr>
        <w:t>Traduire des textes liés à la linguistique vers l'arabe</w:t>
      </w:r>
    </w:p>
    <w:p w:rsidR="00FD3945" w:rsidRDefault="0004670A" w:rsidP="0004670A">
      <w:pPr>
        <w:jc w:val="center"/>
        <w:rPr>
          <w:rFonts w:asciiTheme="majorBidi" w:hAnsiTheme="majorBidi" w:cstheme="majorBidi"/>
          <w:b/>
          <w:bCs/>
          <w:sz w:val="24"/>
          <w:szCs w:val="24"/>
        </w:rPr>
      </w:pPr>
      <w:r>
        <w:rPr>
          <w:rFonts w:asciiTheme="majorBidi" w:hAnsiTheme="majorBidi" w:cstheme="majorBidi"/>
          <w:b/>
          <w:bCs/>
          <w:sz w:val="24"/>
          <w:szCs w:val="24"/>
        </w:rPr>
        <w:t xml:space="preserve">Troisième </w:t>
      </w:r>
      <w:r w:rsidRPr="00C7518B">
        <w:rPr>
          <w:rFonts w:asciiTheme="majorBidi" w:hAnsiTheme="majorBidi" w:cstheme="majorBidi"/>
          <w:b/>
          <w:bCs/>
          <w:sz w:val="24"/>
          <w:szCs w:val="24"/>
        </w:rPr>
        <w:t xml:space="preserve"> partie :</w:t>
      </w:r>
      <w:r>
        <w:rPr>
          <w:rFonts w:asciiTheme="majorBidi" w:hAnsiTheme="majorBidi" w:cstheme="majorBidi"/>
          <w:b/>
          <w:bCs/>
          <w:sz w:val="24"/>
          <w:szCs w:val="24"/>
        </w:rPr>
        <w:t xml:space="preserve"> Traduire un texte linguistique</w:t>
      </w:r>
    </w:p>
    <w:p w:rsidR="0004670A" w:rsidRPr="0004670A" w:rsidRDefault="0004670A" w:rsidP="0004670A">
      <w:pPr>
        <w:jc w:val="both"/>
        <w:rPr>
          <w:rFonts w:ascii="Garamond" w:hAnsi="Garamond"/>
          <w:b/>
          <w:bCs/>
          <w:sz w:val="26"/>
          <w:szCs w:val="26"/>
        </w:rPr>
      </w:pPr>
      <w:r w:rsidRPr="0004670A">
        <w:rPr>
          <w:rFonts w:ascii="Garamond" w:hAnsi="Garamond"/>
          <w:b/>
          <w:bCs/>
          <w:sz w:val="26"/>
          <w:szCs w:val="26"/>
        </w:rPr>
        <w:t>Plan du cours :</w:t>
      </w:r>
    </w:p>
    <w:p w:rsidR="0004670A" w:rsidRDefault="0004670A" w:rsidP="0004670A">
      <w:pPr>
        <w:rPr>
          <w:rFonts w:asciiTheme="majorBidi" w:hAnsiTheme="majorBidi" w:cstheme="majorBidi"/>
          <w:sz w:val="24"/>
          <w:szCs w:val="24"/>
        </w:rPr>
      </w:pPr>
      <w:r w:rsidRPr="0004670A">
        <w:rPr>
          <w:rFonts w:asciiTheme="majorBidi" w:hAnsiTheme="majorBidi" w:cstheme="majorBidi"/>
          <w:sz w:val="24"/>
          <w:szCs w:val="24"/>
        </w:rPr>
        <w:t xml:space="preserve">-les étapes de la traduction d’un texte linguistique </w:t>
      </w:r>
    </w:p>
    <w:p w:rsidR="0004670A" w:rsidRDefault="0004670A" w:rsidP="0004670A">
      <w:pPr>
        <w:rPr>
          <w:rFonts w:asciiTheme="majorBidi" w:hAnsiTheme="majorBidi" w:cstheme="majorBidi"/>
          <w:sz w:val="24"/>
          <w:szCs w:val="24"/>
        </w:rPr>
      </w:pPr>
      <w:r>
        <w:rPr>
          <w:rFonts w:asciiTheme="majorBidi" w:hAnsiTheme="majorBidi" w:cstheme="majorBidi"/>
          <w:sz w:val="24"/>
          <w:szCs w:val="24"/>
        </w:rPr>
        <w:t>-Application</w:t>
      </w:r>
    </w:p>
    <w:p w:rsidR="0004670A" w:rsidRPr="00765098" w:rsidRDefault="0004670A" w:rsidP="0004670A">
      <w:pPr>
        <w:jc w:val="both"/>
        <w:rPr>
          <w:rFonts w:asciiTheme="majorBidi" w:hAnsiTheme="majorBidi" w:cstheme="majorBidi"/>
          <w:b/>
          <w:bCs/>
          <w:sz w:val="24"/>
          <w:szCs w:val="24"/>
        </w:rPr>
      </w:pPr>
      <w:r w:rsidRPr="00765098">
        <w:rPr>
          <w:rFonts w:asciiTheme="majorBidi" w:hAnsiTheme="majorBidi" w:cstheme="majorBidi"/>
          <w:b/>
          <w:bCs/>
          <w:sz w:val="24"/>
          <w:szCs w:val="24"/>
        </w:rPr>
        <w:t>Support didactique du cours :</w:t>
      </w:r>
    </w:p>
    <w:p w:rsidR="00D0567A" w:rsidRPr="0017083A" w:rsidRDefault="00D0567A" w:rsidP="00D0567A">
      <w:pPr>
        <w:bidi/>
        <w:rPr>
          <w:rFonts w:ascii="Traditional Arabic" w:hAnsi="Traditional Arabic" w:cs="Traditional Arabic"/>
          <w:color w:val="222222"/>
          <w:spacing w:val="3"/>
          <w:sz w:val="32"/>
          <w:szCs w:val="32"/>
          <w:shd w:val="clear" w:color="auto" w:fill="FFFFFF"/>
          <w:rtl/>
        </w:rPr>
      </w:pPr>
      <w:r w:rsidRPr="002234BC">
        <w:rPr>
          <w:rFonts w:ascii="Traditional Arabic" w:hAnsi="Traditional Arabic" w:cs="Traditional Arabic"/>
          <w:color w:val="222222"/>
          <w:spacing w:val="3"/>
          <w:sz w:val="32"/>
          <w:szCs w:val="32"/>
          <w:shd w:val="clear" w:color="auto" w:fill="FFFFFF"/>
          <w:rtl/>
        </w:rPr>
        <w:t>-</w:t>
      </w:r>
      <w:r w:rsidRPr="002234BC">
        <w:rPr>
          <w:rFonts w:ascii="Traditional Arabic" w:hAnsi="Traditional Arabic" w:cs="Traditional Arabic"/>
          <w:sz w:val="32"/>
          <w:szCs w:val="32"/>
          <w:rtl/>
        </w:rPr>
        <w:t xml:space="preserve"> بن علي نسرين</w:t>
      </w:r>
      <w:r>
        <w:rPr>
          <w:rFonts w:ascii="Traditional Arabic" w:hAnsi="Traditional Arabic" w:cs="Traditional Arabic" w:hint="cs"/>
          <w:sz w:val="32"/>
          <w:szCs w:val="32"/>
          <w:rtl/>
        </w:rPr>
        <w:t>،</w:t>
      </w:r>
      <w:r w:rsidRPr="002234BC">
        <w:rPr>
          <w:rFonts w:ascii="Traditional Arabic" w:hAnsi="Traditional Arabic" w:cs="Traditional Arabic"/>
          <w:sz w:val="32"/>
          <w:szCs w:val="32"/>
          <w:rtl/>
        </w:rPr>
        <w:t xml:space="preserve"> ترجمة النصوص المتعلقة</w:t>
      </w:r>
      <w:r>
        <w:rPr>
          <w:rFonts w:ascii="Traditional Arabic" w:hAnsi="Traditional Arabic" w:cs="Traditional Arabic"/>
          <w:sz w:val="32"/>
          <w:szCs w:val="32"/>
          <w:rtl/>
        </w:rPr>
        <w:t xml:space="preserve"> باللسانيات إلى اللغة العربية وإشكالية المصطلحات و</w:t>
      </w:r>
      <w:r w:rsidRPr="002234BC">
        <w:rPr>
          <w:rFonts w:ascii="Traditional Arabic" w:hAnsi="Traditional Arabic" w:cs="Traditional Arabic"/>
          <w:sz w:val="32"/>
          <w:szCs w:val="32"/>
          <w:rtl/>
        </w:rPr>
        <w:t>المفاهيم دراسة تحليلية نقدية، مذ</w:t>
      </w:r>
      <w:r>
        <w:rPr>
          <w:rFonts w:ascii="Traditional Arabic" w:hAnsi="Traditional Arabic" w:cs="Traditional Arabic" w:hint="cs"/>
          <w:sz w:val="32"/>
          <w:szCs w:val="32"/>
          <w:rtl/>
        </w:rPr>
        <w:t>ك</w:t>
      </w:r>
      <w:r w:rsidRPr="002234BC">
        <w:rPr>
          <w:rFonts w:ascii="Traditional Arabic" w:hAnsi="Traditional Arabic" w:cs="Traditional Arabic"/>
          <w:sz w:val="32"/>
          <w:szCs w:val="32"/>
          <w:rtl/>
        </w:rPr>
        <w:t xml:space="preserve">رة لنيل شهادة الماجستير في علوم اللسان والتبليغ اللغوي، جامعة الجزائر، 2009. </w:t>
      </w:r>
    </w:p>
    <w:p w:rsidR="0004670A" w:rsidRPr="00D0567A" w:rsidRDefault="00D0567A" w:rsidP="0004670A">
      <w:pPr>
        <w:rPr>
          <w:rFonts w:asciiTheme="majorBidi" w:hAnsiTheme="majorBidi" w:cstheme="majorBidi"/>
          <w:sz w:val="24"/>
          <w:szCs w:val="24"/>
        </w:rPr>
      </w:pPr>
      <w:r>
        <w:rPr>
          <w:rFonts w:asciiTheme="majorBidi" w:hAnsiTheme="majorBidi" w:cstheme="majorBidi"/>
          <w:sz w:val="24"/>
          <w:szCs w:val="24"/>
        </w:rPr>
        <w:t>-D</w:t>
      </w:r>
      <w:r w:rsidRPr="00D0567A">
        <w:rPr>
          <w:rFonts w:asciiTheme="majorBidi" w:hAnsiTheme="majorBidi" w:cstheme="majorBidi"/>
          <w:sz w:val="24"/>
          <w:szCs w:val="24"/>
        </w:rPr>
        <w:t>ictionnaire de linguistique Dubois</w:t>
      </w:r>
    </w:p>
    <w:p w:rsidR="0004670A" w:rsidRPr="001D0F57" w:rsidRDefault="0004670A" w:rsidP="0004670A">
      <w:pPr>
        <w:jc w:val="both"/>
        <w:rPr>
          <w:rFonts w:ascii="Garamond" w:hAnsi="Garamond"/>
          <w:b/>
          <w:bCs/>
          <w:sz w:val="26"/>
          <w:szCs w:val="26"/>
        </w:rPr>
      </w:pPr>
      <w:proofErr w:type="spellStart"/>
      <w:r w:rsidRPr="001D0F57">
        <w:rPr>
          <w:rFonts w:ascii="Garamond" w:hAnsi="Garamond"/>
          <w:b/>
          <w:bCs/>
          <w:sz w:val="26"/>
          <w:szCs w:val="26"/>
        </w:rPr>
        <w:t>Prérequis</w:t>
      </w:r>
      <w:proofErr w:type="spellEnd"/>
      <w:r w:rsidRPr="001D0F57">
        <w:rPr>
          <w:rFonts w:ascii="Garamond" w:hAnsi="Garamond"/>
          <w:b/>
          <w:bCs/>
          <w:sz w:val="26"/>
          <w:szCs w:val="26"/>
        </w:rPr>
        <w:t> :</w:t>
      </w:r>
    </w:p>
    <w:p w:rsidR="0004670A" w:rsidRDefault="0004670A" w:rsidP="0004670A">
      <w:pPr>
        <w:pStyle w:val="Paragraphedeliste"/>
        <w:numPr>
          <w:ilvl w:val="0"/>
          <w:numId w:val="1"/>
        </w:numPr>
        <w:jc w:val="both"/>
        <w:rPr>
          <w:rFonts w:ascii="Garamond" w:hAnsi="Garamond"/>
          <w:sz w:val="26"/>
          <w:szCs w:val="26"/>
        </w:rPr>
      </w:pPr>
      <w:r>
        <w:rPr>
          <w:rFonts w:ascii="Garamond" w:hAnsi="Garamond"/>
          <w:sz w:val="26"/>
          <w:szCs w:val="26"/>
        </w:rPr>
        <w:t xml:space="preserve">Connaissance de base sur la traduction et la </w:t>
      </w:r>
      <w:proofErr w:type="spellStart"/>
      <w:r>
        <w:rPr>
          <w:rFonts w:ascii="Garamond" w:hAnsi="Garamond"/>
          <w:sz w:val="26"/>
          <w:szCs w:val="26"/>
        </w:rPr>
        <w:t>traductologie</w:t>
      </w:r>
      <w:proofErr w:type="spellEnd"/>
      <w:r>
        <w:rPr>
          <w:rFonts w:ascii="Garamond" w:hAnsi="Garamond"/>
          <w:sz w:val="26"/>
          <w:szCs w:val="26"/>
        </w:rPr>
        <w:t>.</w:t>
      </w:r>
    </w:p>
    <w:p w:rsidR="0004670A" w:rsidRDefault="0004670A" w:rsidP="0004670A">
      <w:pPr>
        <w:pStyle w:val="Paragraphedeliste"/>
        <w:numPr>
          <w:ilvl w:val="0"/>
          <w:numId w:val="1"/>
        </w:numPr>
        <w:jc w:val="both"/>
        <w:rPr>
          <w:rFonts w:ascii="Garamond" w:hAnsi="Garamond"/>
          <w:sz w:val="26"/>
          <w:szCs w:val="26"/>
        </w:rPr>
      </w:pPr>
      <w:r>
        <w:rPr>
          <w:rFonts w:ascii="Garamond" w:hAnsi="Garamond"/>
          <w:sz w:val="26"/>
          <w:szCs w:val="26"/>
        </w:rPr>
        <w:t>Connaissance de base sur les techniques de traduction.</w:t>
      </w:r>
    </w:p>
    <w:p w:rsidR="0004670A" w:rsidRPr="00B6291B" w:rsidRDefault="0004670A" w:rsidP="0004670A">
      <w:pPr>
        <w:jc w:val="both"/>
        <w:rPr>
          <w:rFonts w:ascii="Garamond" w:hAnsi="Garamond"/>
          <w:b/>
          <w:bCs/>
          <w:sz w:val="26"/>
          <w:szCs w:val="26"/>
        </w:rPr>
      </w:pPr>
      <w:r w:rsidRPr="00D41FC3">
        <w:rPr>
          <w:rFonts w:ascii="Garamond" w:hAnsi="Garamond"/>
          <w:b/>
          <w:bCs/>
          <w:sz w:val="26"/>
          <w:szCs w:val="26"/>
        </w:rPr>
        <w:t>Travaux dirigés :</w:t>
      </w:r>
      <w:r w:rsidRPr="00B6291B">
        <w:rPr>
          <w:rFonts w:ascii="Garamond" w:hAnsi="Garamond"/>
          <w:sz w:val="26"/>
          <w:szCs w:val="26"/>
        </w:rPr>
        <w:t xml:space="preserve"> </w:t>
      </w:r>
      <w:r>
        <w:rPr>
          <w:rFonts w:ascii="Garamond" w:hAnsi="Garamond"/>
          <w:sz w:val="26"/>
          <w:szCs w:val="26"/>
        </w:rPr>
        <w:t>Des exercices à faire</w:t>
      </w:r>
    </w:p>
    <w:p w:rsidR="0004670A" w:rsidRDefault="0004670A" w:rsidP="0004670A">
      <w:pPr>
        <w:rPr>
          <w:rFonts w:asciiTheme="majorBidi" w:hAnsiTheme="majorBidi" w:cstheme="majorBidi"/>
          <w:sz w:val="24"/>
          <w:szCs w:val="24"/>
        </w:rPr>
      </w:pPr>
      <w:r>
        <w:rPr>
          <w:rFonts w:asciiTheme="majorBidi" w:hAnsiTheme="majorBidi" w:cstheme="majorBidi"/>
          <w:color w:val="222222"/>
          <w:spacing w:val="3"/>
          <w:sz w:val="24"/>
          <w:szCs w:val="24"/>
          <w:shd w:val="clear" w:color="auto" w:fill="FFFFFF"/>
          <w:rtl/>
          <w:lang w:bidi="ar-DZ"/>
        </w:rPr>
        <w:tab/>
      </w:r>
    </w:p>
    <w:p w:rsidR="0004670A" w:rsidRPr="0004670A" w:rsidRDefault="0004670A" w:rsidP="0004670A">
      <w:pPr>
        <w:rPr>
          <w:rFonts w:asciiTheme="majorBidi" w:hAnsiTheme="majorBidi" w:cstheme="majorBidi"/>
          <w:b/>
          <w:bCs/>
          <w:sz w:val="24"/>
          <w:szCs w:val="24"/>
        </w:rPr>
      </w:pPr>
      <w:r w:rsidRPr="0004670A">
        <w:rPr>
          <w:rFonts w:asciiTheme="majorBidi" w:hAnsiTheme="majorBidi" w:cstheme="majorBidi"/>
          <w:b/>
          <w:bCs/>
          <w:sz w:val="24"/>
          <w:szCs w:val="24"/>
        </w:rPr>
        <w:t>Introduction</w:t>
      </w:r>
    </w:p>
    <w:p w:rsidR="0004670A" w:rsidRDefault="0004670A" w:rsidP="0004670A">
      <w:pPr>
        <w:spacing w:line="360" w:lineRule="auto"/>
        <w:rPr>
          <w:rFonts w:asciiTheme="majorBidi" w:hAnsiTheme="majorBidi" w:cstheme="majorBidi"/>
          <w:sz w:val="24"/>
          <w:szCs w:val="24"/>
        </w:rPr>
      </w:pPr>
      <w:r w:rsidRPr="0004670A">
        <w:rPr>
          <w:rFonts w:asciiTheme="majorBidi" w:hAnsiTheme="majorBidi" w:cstheme="majorBidi"/>
          <w:sz w:val="24"/>
          <w:szCs w:val="24"/>
        </w:rPr>
        <w:t xml:space="preserve">  Après avoir traité la difficulté de transférer les termes linguistiques et les exemples contenus dans le texte, il est devenu évident que la traduction de textes linguistiques est un processus plus approximatif que les processus de traduction dans d'autres domaines comme la traduction médicale ou technique, mais </w:t>
      </w:r>
      <w:r>
        <w:rPr>
          <w:rFonts w:asciiTheme="majorBidi" w:hAnsiTheme="majorBidi" w:cstheme="majorBidi"/>
          <w:sz w:val="24"/>
          <w:szCs w:val="24"/>
        </w:rPr>
        <w:t>pour</w:t>
      </w:r>
      <w:r w:rsidRPr="0004670A">
        <w:rPr>
          <w:rFonts w:asciiTheme="majorBidi" w:hAnsiTheme="majorBidi" w:cstheme="majorBidi"/>
          <w:sz w:val="24"/>
          <w:szCs w:val="24"/>
        </w:rPr>
        <w:t xml:space="preserve"> que cette approche se caractérise par la plus grande précision possible en</w:t>
      </w:r>
      <w:r>
        <w:rPr>
          <w:rFonts w:asciiTheme="majorBidi" w:hAnsiTheme="majorBidi" w:cstheme="majorBidi"/>
          <w:sz w:val="24"/>
          <w:szCs w:val="24"/>
        </w:rPr>
        <w:t xml:space="preserve"> termes de transfert du contenu</w:t>
      </w:r>
      <w:r w:rsidRPr="0004670A">
        <w:rPr>
          <w:rFonts w:asciiTheme="majorBidi" w:hAnsiTheme="majorBidi" w:cstheme="majorBidi"/>
          <w:sz w:val="24"/>
          <w:szCs w:val="24"/>
        </w:rPr>
        <w:t xml:space="preserve"> conceptuel de la langue étrangère vers la </w:t>
      </w:r>
      <w:r w:rsidRPr="0004670A">
        <w:rPr>
          <w:rFonts w:asciiTheme="majorBidi" w:hAnsiTheme="majorBidi" w:cstheme="majorBidi"/>
          <w:sz w:val="24"/>
          <w:szCs w:val="24"/>
        </w:rPr>
        <w:lastRenderedPageBreak/>
        <w:t xml:space="preserve">langue arabe, et pour que ces textes traduits soient un moyen de recevoir la linguistique moderne, le traducteur doit suivre une méthodologie spécifique lorsqu'il traite ce type de textes, que nous évoquerons dans </w:t>
      </w:r>
      <w:r>
        <w:rPr>
          <w:rFonts w:asciiTheme="majorBidi" w:hAnsiTheme="majorBidi" w:cstheme="majorBidi"/>
          <w:sz w:val="24"/>
          <w:szCs w:val="24"/>
        </w:rPr>
        <w:t>les lignes</w:t>
      </w:r>
      <w:r w:rsidRPr="0004670A">
        <w:rPr>
          <w:rFonts w:asciiTheme="majorBidi" w:hAnsiTheme="majorBidi" w:cstheme="majorBidi"/>
          <w:sz w:val="24"/>
          <w:szCs w:val="24"/>
        </w:rPr>
        <w:t xml:space="preserve"> suivant</w:t>
      </w:r>
      <w:r>
        <w:rPr>
          <w:rFonts w:asciiTheme="majorBidi" w:hAnsiTheme="majorBidi" w:cstheme="majorBidi"/>
          <w:sz w:val="24"/>
          <w:szCs w:val="24"/>
        </w:rPr>
        <w:t>es</w:t>
      </w:r>
      <w:r w:rsidRPr="0004670A">
        <w:rPr>
          <w:rFonts w:asciiTheme="majorBidi" w:hAnsiTheme="majorBidi" w:cstheme="majorBidi"/>
          <w:sz w:val="24"/>
          <w:szCs w:val="24"/>
        </w:rPr>
        <w:t>.</w:t>
      </w:r>
    </w:p>
    <w:p w:rsidR="0060338C" w:rsidRPr="0060338C" w:rsidRDefault="0060338C" w:rsidP="0060338C">
      <w:pPr>
        <w:spacing w:line="360" w:lineRule="auto"/>
        <w:rPr>
          <w:rFonts w:asciiTheme="majorBidi" w:hAnsiTheme="majorBidi" w:cstheme="majorBidi"/>
          <w:b/>
          <w:bCs/>
          <w:sz w:val="24"/>
          <w:szCs w:val="24"/>
        </w:rPr>
      </w:pPr>
      <w:r w:rsidRPr="0060338C">
        <w:rPr>
          <w:rFonts w:asciiTheme="majorBidi" w:hAnsiTheme="majorBidi" w:cstheme="majorBidi"/>
          <w:b/>
          <w:bCs/>
          <w:sz w:val="24"/>
          <w:szCs w:val="24"/>
        </w:rPr>
        <w:t>Les étapes  de la traduction de textes linguistiques</w:t>
      </w:r>
    </w:p>
    <w:p w:rsidR="0060338C" w:rsidRPr="0060338C" w:rsidRDefault="0060338C" w:rsidP="0060338C">
      <w:pPr>
        <w:spacing w:line="360" w:lineRule="auto"/>
        <w:rPr>
          <w:rFonts w:asciiTheme="majorBidi" w:hAnsiTheme="majorBidi" w:cstheme="majorBidi"/>
          <w:sz w:val="24"/>
          <w:szCs w:val="24"/>
        </w:rPr>
      </w:pPr>
      <w:r w:rsidRPr="0060338C">
        <w:rPr>
          <w:rFonts w:asciiTheme="majorBidi" w:hAnsiTheme="majorBidi" w:cstheme="majorBidi"/>
          <w:sz w:val="24"/>
          <w:szCs w:val="24"/>
        </w:rPr>
        <w:t xml:space="preserve">      La méthodologie de </w:t>
      </w:r>
      <w:r>
        <w:rPr>
          <w:rFonts w:asciiTheme="majorBidi" w:hAnsiTheme="majorBidi" w:cstheme="majorBidi"/>
          <w:sz w:val="24"/>
          <w:szCs w:val="24"/>
        </w:rPr>
        <w:t xml:space="preserve">la </w:t>
      </w:r>
      <w:r w:rsidRPr="0060338C">
        <w:rPr>
          <w:rFonts w:asciiTheme="majorBidi" w:hAnsiTheme="majorBidi" w:cstheme="majorBidi"/>
          <w:sz w:val="24"/>
          <w:szCs w:val="24"/>
        </w:rPr>
        <w:t xml:space="preserve">traduction de ce type de texte ne diffère pas des autres types de traduction spécialisée. Le traducteur doit suivre trois étapes : </w:t>
      </w:r>
      <w:r w:rsidRPr="0060338C">
        <w:rPr>
          <w:rFonts w:asciiTheme="majorBidi" w:hAnsiTheme="majorBidi" w:cstheme="majorBidi"/>
          <w:b/>
          <w:bCs/>
          <w:sz w:val="24"/>
          <w:szCs w:val="24"/>
        </w:rPr>
        <w:t>la compréhension du sujet</w:t>
      </w:r>
      <w:r w:rsidRPr="0060338C">
        <w:rPr>
          <w:rFonts w:asciiTheme="majorBidi" w:hAnsiTheme="majorBidi" w:cstheme="majorBidi"/>
          <w:sz w:val="24"/>
          <w:szCs w:val="24"/>
        </w:rPr>
        <w:t xml:space="preserve"> du texte, </w:t>
      </w:r>
      <w:r w:rsidRPr="0060338C">
        <w:rPr>
          <w:rFonts w:asciiTheme="majorBidi" w:hAnsiTheme="majorBidi" w:cstheme="majorBidi"/>
          <w:b/>
          <w:bCs/>
          <w:sz w:val="24"/>
          <w:szCs w:val="24"/>
        </w:rPr>
        <w:t>la recherche terminologique</w:t>
      </w:r>
      <w:r w:rsidRPr="0060338C">
        <w:rPr>
          <w:rFonts w:asciiTheme="majorBidi" w:hAnsiTheme="majorBidi" w:cstheme="majorBidi"/>
          <w:sz w:val="24"/>
          <w:szCs w:val="24"/>
        </w:rPr>
        <w:t xml:space="preserve">, puis sa </w:t>
      </w:r>
      <w:r w:rsidRPr="0060338C">
        <w:rPr>
          <w:rFonts w:asciiTheme="majorBidi" w:hAnsiTheme="majorBidi" w:cstheme="majorBidi"/>
          <w:b/>
          <w:bCs/>
          <w:sz w:val="24"/>
          <w:szCs w:val="24"/>
        </w:rPr>
        <w:t xml:space="preserve">reformulation </w:t>
      </w:r>
      <w:r w:rsidRPr="0060338C">
        <w:rPr>
          <w:rFonts w:asciiTheme="majorBidi" w:hAnsiTheme="majorBidi" w:cstheme="majorBidi"/>
          <w:sz w:val="24"/>
          <w:szCs w:val="24"/>
        </w:rPr>
        <w:t>en langue arabe.</w:t>
      </w:r>
    </w:p>
    <w:p w:rsidR="0066676E" w:rsidRDefault="0060338C" w:rsidP="005C289B">
      <w:pPr>
        <w:spacing w:line="360" w:lineRule="auto"/>
        <w:jc w:val="both"/>
        <w:rPr>
          <w:rFonts w:asciiTheme="majorBidi" w:hAnsiTheme="majorBidi" w:cstheme="majorBidi"/>
          <w:sz w:val="24"/>
          <w:szCs w:val="24"/>
        </w:rPr>
      </w:pPr>
      <w:r w:rsidRPr="0060338C">
        <w:rPr>
          <w:rFonts w:asciiTheme="majorBidi" w:hAnsiTheme="majorBidi" w:cstheme="majorBidi"/>
          <w:b/>
          <w:bCs/>
          <w:sz w:val="24"/>
          <w:szCs w:val="24"/>
        </w:rPr>
        <w:t>- Comprendre le texte :</w:t>
      </w:r>
      <w:r w:rsidRPr="0060338C">
        <w:rPr>
          <w:rFonts w:asciiTheme="majorBidi" w:hAnsiTheme="majorBidi" w:cstheme="majorBidi"/>
          <w:sz w:val="24"/>
          <w:szCs w:val="24"/>
        </w:rPr>
        <w:t xml:space="preserve"> Outre sa </w:t>
      </w:r>
      <w:r>
        <w:rPr>
          <w:rFonts w:asciiTheme="majorBidi" w:hAnsiTheme="majorBidi" w:cstheme="majorBidi"/>
          <w:sz w:val="24"/>
          <w:szCs w:val="24"/>
        </w:rPr>
        <w:t>maitrise parfaite</w:t>
      </w:r>
      <w:r w:rsidRPr="0060338C">
        <w:rPr>
          <w:rFonts w:asciiTheme="majorBidi" w:hAnsiTheme="majorBidi" w:cstheme="majorBidi"/>
          <w:sz w:val="24"/>
          <w:szCs w:val="24"/>
        </w:rPr>
        <w:t xml:space="preserve"> de la langue </w:t>
      </w:r>
      <w:r>
        <w:rPr>
          <w:rFonts w:asciiTheme="majorBidi" w:hAnsiTheme="majorBidi" w:cstheme="majorBidi"/>
          <w:sz w:val="24"/>
          <w:szCs w:val="24"/>
        </w:rPr>
        <w:t>source</w:t>
      </w:r>
      <w:r w:rsidRPr="0060338C">
        <w:rPr>
          <w:rFonts w:asciiTheme="majorBidi" w:hAnsiTheme="majorBidi" w:cstheme="majorBidi"/>
          <w:sz w:val="24"/>
          <w:szCs w:val="24"/>
        </w:rPr>
        <w:t xml:space="preserve"> et de la langue </w:t>
      </w:r>
      <w:r>
        <w:rPr>
          <w:rFonts w:asciiTheme="majorBidi" w:hAnsiTheme="majorBidi" w:cstheme="majorBidi"/>
          <w:sz w:val="24"/>
          <w:szCs w:val="24"/>
        </w:rPr>
        <w:t>cible</w:t>
      </w:r>
      <w:r w:rsidRPr="0060338C">
        <w:rPr>
          <w:rFonts w:asciiTheme="majorBidi" w:hAnsiTheme="majorBidi" w:cstheme="majorBidi"/>
          <w:sz w:val="24"/>
          <w:szCs w:val="24"/>
        </w:rPr>
        <w:t xml:space="preserve">, le traducteur doit posséder une </w:t>
      </w:r>
      <w:r>
        <w:rPr>
          <w:rFonts w:asciiTheme="majorBidi" w:hAnsiTheme="majorBidi" w:cstheme="majorBidi"/>
          <w:sz w:val="24"/>
          <w:szCs w:val="24"/>
        </w:rPr>
        <w:t>connaissance</w:t>
      </w:r>
      <w:r w:rsidRPr="0060338C">
        <w:rPr>
          <w:rFonts w:asciiTheme="majorBidi" w:hAnsiTheme="majorBidi" w:cstheme="majorBidi"/>
          <w:sz w:val="24"/>
          <w:szCs w:val="24"/>
        </w:rPr>
        <w:t xml:space="preserve"> </w:t>
      </w:r>
      <w:r>
        <w:rPr>
          <w:rFonts w:asciiTheme="majorBidi" w:hAnsiTheme="majorBidi" w:cstheme="majorBidi"/>
          <w:sz w:val="24"/>
          <w:szCs w:val="24"/>
        </w:rPr>
        <w:t>d</w:t>
      </w:r>
      <w:r w:rsidRPr="0060338C">
        <w:rPr>
          <w:rFonts w:asciiTheme="majorBidi" w:hAnsiTheme="majorBidi" w:cstheme="majorBidi"/>
          <w:sz w:val="24"/>
          <w:szCs w:val="24"/>
        </w:rPr>
        <w:t xml:space="preserve">es origines de la linguistique et sa terminologie dans les deux langues, </w:t>
      </w:r>
      <w:r>
        <w:rPr>
          <w:rFonts w:asciiTheme="majorBidi" w:hAnsiTheme="majorBidi" w:cstheme="majorBidi"/>
          <w:sz w:val="24"/>
          <w:szCs w:val="24"/>
        </w:rPr>
        <w:t>et</w:t>
      </w:r>
      <w:r w:rsidRPr="0060338C">
        <w:rPr>
          <w:rFonts w:asciiTheme="majorBidi" w:hAnsiTheme="majorBidi" w:cstheme="majorBidi"/>
          <w:sz w:val="24"/>
          <w:szCs w:val="24"/>
        </w:rPr>
        <w:t xml:space="preserve"> </w:t>
      </w:r>
      <w:r>
        <w:rPr>
          <w:rFonts w:asciiTheme="majorBidi" w:hAnsiTheme="majorBidi" w:cstheme="majorBidi"/>
          <w:sz w:val="24"/>
          <w:szCs w:val="24"/>
        </w:rPr>
        <w:t xml:space="preserve"> cela</w:t>
      </w:r>
      <w:r w:rsidRPr="0060338C">
        <w:rPr>
          <w:rFonts w:asciiTheme="majorBidi" w:hAnsiTheme="majorBidi" w:cstheme="majorBidi"/>
          <w:sz w:val="24"/>
          <w:szCs w:val="24"/>
        </w:rPr>
        <w:t xml:space="preserve"> nécessit</w:t>
      </w:r>
      <w:r>
        <w:rPr>
          <w:rFonts w:asciiTheme="majorBidi" w:hAnsiTheme="majorBidi" w:cstheme="majorBidi"/>
          <w:sz w:val="24"/>
          <w:szCs w:val="24"/>
        </w:rPr>
        <w:t>e</w:t>
      </w:r>
      <w:r w:rsidRPr="0060338C">
        <w:rPr>
          <w:rFonts w:asciiTheme="majorBidi" w:hAnsiTheme="majorBidi" w:cstheme="majorBidi"/>
          <w:sz w:val="24"/>
          <w:szCs w:val="24"/>
        </w:rPr>
        <w:t xml:space="preserve"> </w:t>
      </w:r>
      <w:r>
        <w:rPr>
          <w:rFonts w:asciiTheme="majorBidi" w:hAnsiTheme="majorBidi" w:cstheme="majorBidi"/>
          <w:sz w:val="24"/>
          <w:szCs w:val="24"/>
        </w:rPr>
        <w:t>d’être</w:t>
      </w:r>
      <w:r w:rsidRPr="0060338C">
        <w:rPr>
          <w:rFonts w:asciiTheme="majorBidi" w:hAnsiTheme="majorBidi" w:cstheme="majorBidi"/>
          <w:sz w:val="24"/>
          <w:szCs w:val="24"/>
        </w:rPr>
        <w:t xml:space="preserve"> spécialis</w:t>
      </w:r>
      <w:r>
        <w:rPr>
          <w:rFonts w:asciiTheme="majorBidi" w:hAnsiTheme="majorBidi" w:cstheme="majorBidi"/>
          <w:sz w:val="24"/>
          <w:szCs w:val="24"/>
        </w:rPr>
        <w:t>te</w:t>
      </w:r>
      <w:r w:rsidRPr="0060338C">
        <w:rPr>
          <w:rFonts w:asciiTheme="majorBidi" w:hAnsiTheme="majorBidi" w:cstheme="majorBidi"/>
          <w:sz w:val="24"/>
          <w:szCs w:val="24"/>
        </w:rPr>
        <w:t xml:space="preserve"> en linguistique afin de décoder le texte</w:t>
      </w:r>
      <w:r w:rsidR="005C289B">
        <w:rPr>
          <w:rFonts w:asciiTheme="majorBidi" w:hAnsiTheme="majorBidi" w:cstheme="majorBidi"/>
          <w:sz w:val="24"/>
          <w:szCs w:val="24"/>
        </w:rPr>
        <w:t xml:space="preserve"> </w:t>
      </w:r>
      <w:r w:rsidR="0066676E" w:rsidRPr="0066676E">
        <w:rPr>
          <w:rFonts w:asciiTheme="majorBidi" w:hAnsiTheme="majorBidi" w:cstheme="majorBidi"/>
          <w:sz w:val="24"/>
          <w:szCs w:val="24"/>
        </w:rPr>
        <w:t xml:space="preserve"> </w:t>
      </w:r>
      <w:r w:rsidR="005C289B" w:rsidRPr="0060338C">
        <w:rPr>
          <w:rFonts w:asciiTheme="majorBidi" w:hAnsiTheme="majorBidi" w:cstheme="majorBidi"/>
          <w:sz w:val="24"/>
          <w:szCs w:val="24"/>
        </w:rPr>
        <w:t>source et de le reformuler dans la langue cible sans mauvaise interprétation.</w:t>
      </w:r>
    </w:p>
    <w:p w:rsidR="0060338C" w:rsidRDefault="0066676E" w:rsidP="005B5F01">
      <w:pPr>
        <w:spacing w:line="360" w:lineRule="auto"/>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b/>
          <w:bCs/>
          <w:sz w:val="24"/>
          <w:szCs w:val="24"/>
        </w:rPr>
        <w:t>La recherche terminologique</w:t>
      </w:r>
      <w:r w:rsidRPr="0066676E">
        <w:rPr>
          <w:rFonts w:asciiTheme="majorBidi" w:hAnsiTheme="majorBidi" w:cstheme="majorBidi"/>
          <w:b/>
          <w:bCs/>
          <w:sz w:val="24"/>
          <w:szCs w:val="24"/>
        </w:rPr>
        <w:t>:</w:t>
      </w:r>
      <w:r>
        <w:rPr>
          <w:rFonts w:asciiTheme="majorBidi" w:hAnsiTheme="majorBidi" w:cstheme="majorBidi"/>
          <w:b/>
          <w:bCs/>
          <w:sz w:val="24"/>
          <w:szCs w:val="24"/>
        </w:rPr>
        <w:t xml:space="preserve"> </w:t>
      </w:r>
      <w:r w:rsidRPr="0066676E">
        <w:rPr>
          <w:rFonts w:asciiTheme="majorBidi" w:hAnsiTheme="majorBidi" w:cstheme="majorBidi"/>
          <w:sz w:val="24"/>
          <w:szCs w:val="24"/>
        </w:rPr>
        <w:t xml:space="preserve">Les textes linguistiques étant caractérisés par l'utilisation d'une terminologie particulière, le traducteur doit être prêt à effectuer des recherches terminologiques pour trouver </w:t>
      </w:r>
      <w:r w:rsidR="005B5F01" w:rsidRPr="0066676E">
        <w:rPr>
          <w:rFonts w:asciiTheme="majorBidi" w:hAnsiTheme="majorBidi" w:cstheme="majorBidi"/>
          <w:sz w:val="24"/>
          <w:szCs w:val="24"/>
        </w:rPr>
        <w:t xml:space="preserve">les </w:t>
      </w:r>
      <w:r w:rsidR="005B5F01">
        <w:rPr>
          <w:rFonts w:asciiTheme="majorBidi" w:hAnsiTheme="majorBidi" w:cstheme="majorBidi"/>
          <w:sz w:val="24"/>
          <w:szCs w:val="24"/>
        </w:rPr>
        <w:t>équivalents</w:t>
      </w:r>
      <w:r w:rsidR="005B5F01" w:rsidRPr="0066676E">
        <w:rPr>
          <w:rFonts w:asciiTheme="majorBidi" w:hAnsiTheme="majorBidi" w:cstheme="majorBidi"/>
          <w:sz w:val="24"/>
          <w:szCs w:val="24"/>
        </w:rPr>
        <w:t xml:space="preserve"> </w:t>
      </w:r>
      <w:r w:rsidR="005B5F01">
        <w:rPr>
          <w:rFonts w:asciiTheme="majorBidi" w:hAnsiTheme="majorBidi" w:cstheme="majorBidi"/>
          <w:sz w:val="24"/>
          <w:szCs w:val="24"/>
        </w:rPr>
        <w:t>arabes exacts</w:t>
      </w:r>
      <w:r w:rsidRPr="0066676E">
        <w:rPr>
          <w:rFonts w:asciiTheme="majorBidi" w:hAnsiTheme="majorBidi" w:cstheme="majorBidi"/>
          <w:sz w:val="24"/>
          <w:szCs w:val="24"/>
        </w:rPr>
        <w:t xml:space="preserve"> des termes</w:t>
      </w:r>
      <w:r w:rsidR="005B5F01">
        <w:rPr>
          <w:rFonts w:asciiTheme="majorBidi" w:hAnsiTheme="majorBidi" w:cstheme="majorBidi"/>
          <w:sz w:val="24"/>
          <w:szCs w:val="24"/>
        </w:rPr>
        <w:t xml:space="preserve"> linguistiques étrangers</w:t>
      </w:r>
      <w:r w:rsidRPr="0066676E">
        <w:rPr>
          <w:rFonts w:asciiTheme="majorBidi" w:hAnsiTheme="majorBidi" w:cstheme="majorBidi"/>
          <w:sz w:val="24"/>
          <w:szCs w:val="24"/>
        </w:rPr>
        <w:t xml:space="preserve">. Il ne faut pas oublier le rôle que joue le traducteur dans le développement et la promotion de la terminologie, et puisque la terminologie linguistique en langue arabe souffre de problèmes, ce qui augmente la complexité de </w:t>
      </w:r>
      <w:r>
        <w:rPr>
          <w:rFonts w:asciiTheme="majorBidi" w:hAnsiTheme="majorBidi" w:cstheme="majorBidi"/>
          <w:sz w:val="24"/>
          <w:szCs w:val="24"/>
        </w:rPr>
        <w:t>cette</w:t>
      </w:r>
      <w:r w:rsidRPr="0066676E">
        <w:rPr>
          <w:rFonts w:asciiTheme="majorBidi" w:hAnsiTheme="majorBidi" w:cstheme="majorBidi"/>
          <w:sz w:val="24"/>
          <w:szCs w:val="24"/>
        </w:rPr>
        <w:t xml:space="preserve"> tâche, et par conséquent le traducteur doit recourir dans sa recherche terminologique à des dictionnaires monolingues étrangers pour comprendre le </w:t>
      </w:r>
      <w:r w:rsidR="005B5F01">
        <w:rPr>
          <w:rFonts w:asciiTheme="majorBidi" w:hAnsiTheme="majorBidi" w:cstheme="majorBidi"/>
          <w:sz w:val="24"/>
          <w:szCs w:val="24"/>
        </w:rPr>
        <w:t>concept</w:t>
      </w:r>
      <w:r w:rsidRPr="0066676E">
        <w:rPr>
          <w:rFonts w:asciiTheme="majorBidi" w:hAnsiTheme="majorBidi" w:cstheme="majorBidi"/>
          <w:sz w:val="24"/>
          <w:szCs w:val="24"/>
        </w:rPr>
        <w:t xml:space="preserve"> précis </w:t>
      </w:r>
      <w:r>
        <w:rPr>
          <w:rFonts w:asciiTheme="majorBidi" w:hAnsiTheme="majorBidi" w:cstheme="majorBidi"/>
          <w:sz w:val="24"/>
          <w:szCs w:val="24"/>
        </w:rPr>
        <w:t>du</w:t>
      </w:r>
      <w:r w:rsidRPr="0066676E">
        <w:rPr>
          <w:rFonts w:asciiTheme="majorBidi" w:hAnsiTheme="majorBidi" w:cstheme="majorBidi"/>
          <w:sz w:val="24"/>
          <w:szCs w:val="24"/>
        </w:rPr>
        <w:t xml:space="preserve"> terme linguistique et de pouvoir choisir l'équivalent le plus précis parmi les </w:t>
      </w:r>
      <w:r>
        <w:rPr>
          <w:rFonts w:asciiTheme="majorBidi" w:hAnsiTheme="majorBidi" w:cstheme="majorBidi"/>
          <w:sz w:val="24"/>
          <w:szCs w:val="24"/>
        </w:rPr>
        <w:t>équivalents</w:t>
      </w:r>
      <w:r w:rsidRPr="0066676E">
        <w:rPr>
          <w:rFonts w:asciiTheme="majorBidi" w:hAnsiTheme="majorBidi" w:cstheme="majorBidi"/>
          <w:sz w:val="24"/>
          <w:szCs w:val="24"/>
        </w:rPr>
        <w:t xml:space="preserve"> qu'il trouve dans les dictionnaires bi linguistiques.</w:t>
      </w:r>
      <w:r w:rsidR="0060338C" w:rsidRPr="0060338C">
        <w:rPr>
          <w:rFonts w:asciiTheme="majorBidi" w:hAnsiTheme="majorBidi" w:cstheme="majorBidi"/>
          <w:sz w:val="24"/>
          <w:szCs w:val="24"/>
        </w:rPr>
        <w:t xml:space="preserve"> </w:t>
      </w:r>
    </w:p>
    <w:p w:rsidR="00D0567A" w:rsidRPr="00D0567A" w:rsidRDefault="00325493" w:rsidP="00D0567A">
      <w:pPr>
        <w:spacing w:line="360" w:lineRule="auto"/>
        <w:jc w:val="both"/>
        <w:rPr>
          <w:rFonts w:asciiTheme="majorBidi" w:hAnsiTheme="majorBidi" w:cstheme="majorBidi"/>
          <w:sz w:val="24"/>
          <w:szCs w:val="24"/>
        </w:rPr>
      </w:pPr>
      <w:r w:rsidRPr="00325493">
        <w:rPr>
          <w:rFonts w:asciiTheme="majorBidi" w:hAnsiTheme="majorBidi" w:cstheme="majorBidi"/>
          <w:b/>
          <w:bCs/>
          <w:sz w:val="24"/>
          <w:szCs w:val="24"/>
        </w:rPr>
        <w:t>-La reformulation :</w:t>
      </w:r>
      <w:r>
        <w:rPr>
          <w:rFonts w:asciiTheme="majorBidi" w:hAnsiTheme="majorBidi" w:cstheme="majorBidi"/>
          <w:b/>
          <w:bCs/>
          <w:sz w:val="24"/>
          <w:szCs w:val="24"/>
        </w:rPr>
        <w:t xml:space="preserve"> </w:t>
      </w:r>
      <w:r w:rsidRPr="00325493">
        <w:rPr>
          <w:rFonts w:asciiTheme="majorBidi" w:hAnsiTheme="majorBidi" w:cstheme="majorBidi"/>
          <w:sz w:val="24"/>
          <w:szCs w:val="24"/>
        </w:rPr>
        <w:t>Il s'agit de la reconstruction d'un texte équiva</w:t>
      </w:r>
      <w:r>
        <w:rPr>
          <w:rFonts w:asciiTheme="majorBidi" w:hAnsiTheme="majorBidi" w:cstheme="majorBidi"/>
          <w:sz w:val="24"/>
          <w:szCs w:val="24"/>
        </w:rPr>
        <w:t>lent</w:t>
      </w:r>
      <w:r w:rsidRPr="00325493">
        <w:rPr>
          <w:rFonts w:asciiTheme="majorBidi" w:hAnsiTheme="majorBidi" w:cstheme="majorBidi"/>
          <w:sz w:val="24"/>
          <w:szCs w:val="24"/>
        </w:rPr>
        <w:t xml:space="preserve"> au texte</w:t>
      </w:r>
      <w:r>
        <w:rPr>
          <w:rFonts w:asciiTheme="majorBidi" w:hAnsiTheme="majorBidi" w:cstheme="majorBidi"/>
          <w:sz w:val="24"/>
          <w:szCs w:val="24"/>
        </w:rPr>
        <w:t xml:space="preserve"> source</w:t>
      </w:r>
      <w:r w:rsidRPr="00325493">
        <w:rPr>
          <w:rFonts w:asciiTheme="majorBidi" w:hAnsiTheme="majorBidi" w:cstheme="majorBidi"/>
          <w:sz w:val="24"/>
          <w:szCs w:val="24"/>
        </w:rPr>
        <w:t xml:space="preserve"> en termes de sens et de style dans la langue </w:t>
      </w:r>
      <w:r>
        <w:rPr>
          <w:rFonts w:asciiTheme="majorBidi" w:hAnsiTheme="majorBidi" w:cstheme="majorBidi"/>
          <w:sz w:val="24"/>
          <w:szCs w:val="24"/>
        </w:rPr>
        <w:t>cible</w:t>
      </w:r>
      <w:r w:rsidRPr="00325493">
        <w:rPr>
          <w:rFonts w:asciiTheme="majorBidi" w:hAnsiTheme="majorBidi" w:cstheme="majorBidi"/>
          <w:sz w:val="24"/>
          <w:szCs w:val="24"/>
        </w:rPr>
        <w:t xml:space="preserve">. Le traducteur de ces textes se trouve rarement confronté à des obstacles stylistiques. </w:t>
      </w:r>
      <w:r w:rsidR="003F6776">
        <w:rPr>
          <w:rFonts w:asciiTheme="majorBidi" w:hAnsiTheme="majorBidi" w:cstheme="majorBidi"/>
          <w:sz w:val="24"/>
          <w:szCs w:val="24"/>
        </w:rPr>
        <w:t>Il</w:t>
      </w:r>
      <w:r w:rsidRPr="00325493">
        <w:rPr>
          <w:rFonts w:asciiTheme="majorBidi" w:hAnsiTheme="majorBidi" w:cstheme="majorBidi"/>
          <w:sz w:val="24"/>
          <w:szCs w:val="24"/>
        </w:rPr>
        <w:t xml:space="preserve"> utilise souvent la traduction littérale.</w:t>
      </w:r>
    </w:p>
    <w:p w:rsidR="00D0567A" w:rsidRPr="009D05A0" w:rsidRDefault="00D0567A" w:rsidP="00D0567A">
      <w:pPr>
        <w:tabs>
          <w:tab w:val="right" w:pos="567"/>
        </w:tabs>
        <w:bidi/>
        <w:rPr>
          <w:rFonts w:ascii="Traditional Arabic" w:hAnsi="Traditional Arabic" w:cs="Traditional Arabic"/>
          <w:b/>
          <w:bCs/>
          <w:sz w:val="32"/>
          <w:szCs w:val="32"/>
          <w:u w:val="single"/>
          <w:rtl/>
        </w:rPr>
      </w:pPr>
      <w:r w:rsidRPr="009D05A0">
        <w:rPr>
          <w:rFonts w:ascii="Traditional Arabic" w:hAnsi="Traditional Arabic" w:cs="Traditional Arabic" w:hint="cs"/>
          <w:b/>
          <w:bCs/>
          <w:sz w:val="32"/>
          <w:szCs w:val="32"/>
          <w:u w:val="single"/>
          <w:rtl/>
        </w:rPr>
        <w:t xml:space="preserve">ترجمة نص لساني </w:t>
      </w:r>
    </w:p>
    <w:p w:rsidR="00D0567A" w:rsidRDefault="00D0567A" w:rsidP="00D0567A">
      <w:pPr>
        <w:bidi/>
        <w:rPr>
          <w:rFonts w:asciiTheme="majorBidi" w:hAnsiTheme="majorBidi" w:cstheme="majorBidi"/>
          <w:b/>
          <w:bCs/>
          <w:sz w:val="24"/>
          <w:szCs w:val="24"/>
          <w:lang w:bidi="ar-DZ"/>
        </w:rPr>
      </w:pPr>
      <w:r w:rsidRPr="00062CA4">
        <w:rPr>
          <w:rFonts w:asciiTheme="majorBidi" w:hAnsiTheme="majorBidi" w:cstheme="majorBidi" w:hint="cs"/>
          <w:b/>
          <w:bCs/>
          <w:sz w:val="24"/>
          <w:szCs w:val="24"/>
          <w:u w:val="single"/>
          <w:rtl/>
          <w:lang w:bidi="ar-DZ"/>
        </w:rPr>
        <w:t xml:space="preserve">التمرين 1: </w:t>
      </w:r>
      <w:r>
        <w:rPr>
          <w:rFonts w:asciiTheme="majorBidi" w:hAnsiTheme="majorBidi" w:cstheme="majorBidi" w:hint="cs"/>
          <w:b/>
          <w:bCs/>
          <w:sz w:val="24"/>
          <w:szCs w:val="24"/>
          <w:rtl/>
          <w:lang w:bidi="ar-DZ"/>
        </w:rPr>
        <w:t xml:space="preserve">عرب النص </w:t>
      </w:r>
      <w:proofErr w:type="gramStart"/>
      <w:r>
        <w:rPr>
          <w:rFonts w:asciiTheme="majorBidi" w:hAnsiTheme="majorBidi" w:cstheme="majorBidi" w:hint="cs"/>
          <w:b/>
          <w:bCs/>
          <w:sz w:val="24"/>
          <w:szCs w:val="24"/>
          <w:rtl/>
          <w:lang w:bidi="ar-DZ"/>
        </w:rPr>
        <w:t>التالي :</w:t>
      </w:r>
      <w:proofErr w:type="gramEnd"/>
      <w:r>
        <w:rPr>
          <w:rFonts w:asciiTheme="majorBidi" w:hAnsiTheme="majorBidi" w:cstheme="majorBidi" w:hint="cs"/>
          <w:b/>
          <w:bCs/>
          <w:sz w:val="24"/>
          <w:szCs w:val="24"/>
          <w:rtl/>
          <w:lang w:bidi="ar-DZ"/>
        </w:rPr>
        <w:t xml:space="preserve"> </w:t>
      </w:r>
    </w:p>
    <w:p w:rsidR="00D0567A" w:rsidRPr="00D95989" w:rsidRDefault="00D0567A" w:rsidP="00D0567A">
      <w:pPr>
        <w:bidi/>
        <w:jc w:val="center"/>
        <w:rPr>
          <w:rFonts w:asciiTheme="majorBidi" w:hAnsiTheme="majorBidi" w:cstheme="majorBidi"/>
          <w:b/>
          <w:bCs/>
          <w:sz w:val="28"/>
          <w:szCs w:val="28"/>
          <w:u w:val="single"/>
          <w:rtl/>
          <w:lang w:bidi="ar-DZ"/>
        </w:rPr>
      </w:pPr>
      <w:r w:rsidRPr="00D95989">
        <w:rPr>
          <w:rFonts w:asciiTheme="majorBidi" w:hAnsiTheme="majorBidi" w:cstheme="majorBidi"/>
          <w:b/>
          <w:bCs/>
          <w:sz w:val="28"/>
          <w:szCs w:val="28"/>
          <w:u w:val="single"/>
          <w:lang w:bidi="ar-DZ"/>
        </w:rPr>
        <w:t>Actant</w:t>
      </w:r>
    </w:p>
    <w:p w:rsidR="00D0567A" w:rsidRPr="00D0567A" w:rsidRDefault="00D0567A" w:rsidP="00A673B2">
      <w:pPr>
        <w:autoSpaceDE w:val="0"/>
        <w:autoSpaceDN w:val="0"/>
        <w:adjustRightInd w:val="0"/>
        <w:spacing w:after="0" w:line="360" w:lineRule="auto"/>
        <w:jc w:val="both"/>
        <w:rPr>
          <w:rFonts w:asciiTheme="majorBidi" w:hAnsiTheme="majorBidi" w:cstheme="majorBidi"/>
          <w:sz w:val="24"/>
          <w:szCs w:val="24"/>
        </w:rPr>
      </w:pPr>
      <w:r w:rsidRPr="00EB7358">
        <w:rPr>
          <w:rFonts w:asciiTheme="majorBidi" w:hAnsiTheme="majorBidi" w:cstheme="majorBidi"/>
          <w:sz w:val="28"/>
          <w:szCs w:val="28"/>
        </w:rPr>
        <w:t>1</w:t>
      </w:r>
      <w:r w:rsidRPr="00D0567A">
        <w:rPr>
          <w:rFonts w:asciiTheme="majorBidi" w:hAnsiTheme="majorBidi" w:cstheme="majorBidi"/>
          <w:sz w:val="24"/>
          <w:szCs w:val="24"/>
        </w:rPr>
        <w:t xml:space="preserve">. Le nom </w:t>
      </w:r>
      <w:r w:rsidRPr="00D0567A">
        <w:rPr>
          <w:rFonts w:asciiTheme="majorBidi" w:hAnsiTheme="majorBidi" w:cstheme="majorBidi"/>
          <w:i/>
          <w:iCs/>
          <w:sz w:val="24"/>
          <w:szCs w:val="24"/>
        </w:rPr>
        <w:t xml:space="preserve">d’actant </w:t>
      </w:r>
      <w:r w:rsidRPr="00D0567A">
        <w:rPr>
          <w:rFonts w:asciiTheme="majorBidi" w:hAnsiTheme="majorBidi" w:cstheme="majorBidi"/>
          <w:sz w:val="24"/>
          <w:szCs w:val="24"/>
        </w:rPr>
        <w:t>est donn</w:t>
      </w:r>
      <w:r w:rsidR="00A673B2">
        <w:rPr>
          <w:rFonts w:asciiTheme="majorBidi" w:hAnsiTheme="majorBidi" w:cstheme="majorBidi"/>
          <w:sz w:val="24"/>
          <w:szCs w:val="24"/>
        </w:rPr>
        <w:t>é</w:t>
      </w:r>
      <w:r w:rsidRPr="00D0567A">
        <w:rPr>
          <w:rFonts w:asciiTheme="majorBidi" w:hAnsiTheme="majorBidi" w:cstheme="majorBidi"/>
          <w:sz w:val="24"/>
          <w:szCs w:val="24"/>
        </w:rPr>
        <w:t xml:space="preserve"> </w:t>
      </w:r>
      <w:proofErr w:type="gramStart"/>
      <w:r w:rsidRPr="00D0567A">
        <w:rPr>
          <w:rFonts w:asciiTheme="majorBidi" w:hAnsiTheme="majorBidi" w:cstheme="majorBidi"/>
          <w:sz w:val="24"/>
          <w:szCs w:val="24"/>
        </w:rPr>
        <w:t>a</w:t>
      </w:r>
      <w:proofErr w:type="gramEnd"/>
      <w:r w:rsidRPr="00D0567A">
        <w:rPr>
          <w:rFonts w:asciiTheme="majorBidi" w:hAnsiTheme="majorBidi" w:cstheme="majorBidi"/>
          <w:sz w:val="24"/>
          <w:szCs w:val="24"/>
        </w:rPr>
        <w:t xml:space="preserve"> celui qui fait l’action indiquée par le verbe (intransitif) ou le groupe verbal form</w:t>
      </w:r>
      <w:r w:rsidR="00A673B2">
        <w:rPr>
          <w:rFonts w:asciiTheme="majorBidi" w:hAnsiTheme="majorBidi" w:cstheme="majorBidi"/>
          <w:sz w:val="24"/>
          <w:szCs w:val="24"/>
        </w:rPr>
        <w:t>é</w:t>
      </w:r>
      <w:r w:rsidRPr="00D0567A">
        <w:rPr>
          <w:rFonts w:asciiTheme="majorBidi" w:hAnsiTheme="majorBidi" w:cstheme="majorBidi"/>
          <w:sz w:val="24"/>
          <w:szCs w:val="24"/>
        </w:rPr>
        <w:t xml:space="preserve"> du verbe et de son objet (transitif) : il  répond </w:t>
      </w:r>
      <w:r w:rsidR="00A673B2">
        <w:rPr>
          <w:rFonts w:asciiTheme="majorBidi" w:hAnsiTheme="majorBidi" w:cstheme="majorBidi"/>
          <w:sz w:val="24"/>
          <w:szCs w:val="24"/>
        </w:rPr>
        <w:t>à</w:t>
      </w:r>
      <w:r w:rsidRPr="00D0567A">
        <w:rPr>
          <w:rFonts w:asciiTheme="majorBidi" w:hAnsiTheme="majorBidi" w:cstheme="majorBidi"/>
          <w:sz w:val="24"/>
          <w:szCs w:val="24"/>
        </w:rPr>
        <w:t xml:space="preserve"> la question implicite </w:t>
      </w:r>
      <w:r w:rsidRPr="00D0567A">
        <w:rPr>
          <w:rFonts w:asciiTheme="majorBidi" w:hAnsiTheme="majorBidi" w:cstheme="majorBidi"/>
          <w:i/>
          <w:iCs/>
          <w:sz w:val="24"/>
          <w:szCs w:val="24"/>
        </w:rPr>
        <w:t xml:space="preserve">que fait X ? X </w:t>
      </w:r>
      <w:r w:rsidRPr="00D0567A">
        <w:rPr>
          <w:rFonts w:asciiTheme="majorBidi" w:hAnsiTheme="majorBidi" w:cstheme="majorBidi"/>
          <w:sz w:val="24"/>
          <w:szCs w:val="24"/>
        </w:rPr>
        <w:t>est l’actant ou agent de l’action.</w:t>
      </w:r>
    </w:p>
    <w:p w:rsidR="00D0567A" w:rsidRPr="00A673B2" w:rsidRDefault="00D0567A" w:rsidP="00A673B2">
      <w:pPr>
        <w:autoSpaceDE w:val="0"/>
        <w:autoSpaceDN w:val="0"/>
        <w:adjustRightInd w:val="0"/>
        <w:spacing w:after="0" w:line="360" w:lineRule="auto"/>
        <w:jc w:val="both"/>
        <w:rPr>
          <w:rFonts w:asciiTheme="majorBidi" w:hAnsiTheme="majorBidi" w:cstheme="majorBidi"/>
          <w:i/>
          <w:iCs/>
          <w:sz w:val="24"/>
          <w:szCs w:val="24"/>
        </w:rPr>
      </w:pPr>
      <w:r w:rsidRPr="00D0567A">
        <w:rPr>
          <w:rFonts w:asciiTheme="majorBidi" w:hAnsiTheme="majorBidi" w:cstheme="majorBidi"/>
          <w:sz w:val="24"/>
          <w:szCs w:val="24"/>
        </w:rPr>
        <w:lastRenderedPageBreak/>
        <w:t xml:space="preserve">2. Dans l’analyse structurale du récit, </w:t>
      </w:r>
      <w:r w:rsidRPr="00D0567A">
        <w:rPr>
          <w:rFonts w:asciiTheme="majorBidi" w:hAnsiTheme="majorBidi" w:cstheme="majorBidi"/>
          <w:i/>
          <w:iCs/>
          <w:sz w:val="24"/>
          <w:szCs w:val="24"/>
        </w:rPr>
        <w:t xml:space="preserve">l’Actant </w:t>
      </w:r>
      <w:r w:rsidRPr="00D0567A">
        <w:rPr>
          <w:rFonts w:asciiTheme="majorBidi" w:hAnsiTheme="majorBidi" w:cstheme="majorBidi"/>
          <w:sz w:val="24"/>
          <w:szCs w:val="24"/>
        </w:rPr>
        <w:t>est le protagoniste de l’action, distinct du</w:t>
      </w:r>
      <w:r w:rsidRPr="00D0567A">
        <w:rPr>
          <w:rFonts w:asciiTheme="majorBidi" w:hAnsiTheme="majorBidi" w:cstheme="majorBidi"/>
          <w:i/>
          <w:iCs/>
          <w:sz w:val="24"/>
          <w:szCs w:val="24"/>
        </w:rPr>
        <w:t xml:space="preserve"> </w:t>
      </w:r>
      <w:r w:rsidRPr="00D0567A">
        <w:rPr>
          <w:rFonts w:asciiTheme="majorBidi" w:hAnsiTheme="majorBidi" w:cstheme="majorBidi"/>
          <w:sz w:val="24"/>
          <w:szCs w:val="24"/>
        </w:rPr>
        <w:t>bénéficiaire, au bénéfice de qui se fait l’action ;</w:t>
      </w:r>
      <w:r w:rsidR="00A673B2">
        <w:rPr>
          <w:rFonts w:asciiTheme="majorBidi" w:hAnsiTheme="majorBidi" w:cstheme="majorBidi"/>
          <w:i/>
          <w:iCs/>
          <w:sz w:val="24"/>
          <w:szCs w:val="24"/>
        </w:rPr>
        <w:t xml:space="preserve"> </w:t>
      </w:r>
      <w:r w:rsidRPr="00D0567A">
        <w:rPr>
          <w:rFonts w:asciiTheme="majorBidi" w:hAnsiTheme="majorBidi" w:cstheme="majorBidi"/>
          <w:sz w:val="24"/>
          <w:szCs w:val="24"/>
        </w:rPr>
        <w:t>actant et bénéficiaire peuvent se confondre dans la même personne.</w:t>
      </w:r>
    </w:p>
    <w:p w:rsidR="00D0567A" w:rsidRPr="00A673B2" w:rsidRDefault="00D0567A" w:rsidP="00A673B2">
      <w:pPr>
        <w:autoSpaceDE w:val="0"/>
        <w:autoSpaceDN w:val="0"/>
        <w:adjustRightInd w:val="0"/>
        <w:spacing w:after="0" w:line="360" w:lineRule="auto"/>
        <w:jc w:val="both"/>
        <w:rPr>
          <w:rFonts w:asciiTheme="majorBidi" w:hAnsiTheme="majorBidi" w:cstheme="majorBidi"/>
          <w:sz w:val="24"/>
          <w:szCs w:val="24"/>
        </w:rPr>
      </w:pPr>
      <w:r w:rsidRPr="00D0567A">
        <w:rPr>
          <w:rFonts w:asciiTheme="majorBidi" w:hAnsiTheme="majorBidi" w:cstheme="majorBidi"/>
          <w:sz w:val="24"/>
          <w:szCs w:val="24"/>
        </w:rPr>
        <w:t xml:space="preserve">3. L. </w:t>
      </w:r>
      <w:proofErr w:type="spellStart"/>
      <w:r w:rsidRPr="00D0567A">
        <w:rPr>
          <w:rFonts w:asciiTheme="majorBidi" w:hAnsiTheme="majorBidi" w:cstheme="majorBidi"/>
          <w:sz w:val="24"/>
          <w:szCs w:val="24"/>
        </w:rPr>
        <w:t>Tesnière</w:t>
      </w:r>
      <w:proofErr w:type="spellEnd"/>
      <w:r w:rsidRPr="00D0567A">
        <w:rPr>
          <w:rFonts w:asciiTheme="majorBidi" w:hAnsiTheme="majorBidi" w:cstheme="majorBidi"/>
          <w:sz w:val="24"/>
          <w:szCs w:val="24"/>
        </w:rPr>
        <w:t xml:space="preserve"> appelle </w:t>
      </w:r>
      <w:r w:rsidRPr="00D0567A">
        <w:rPr>
          <w:rFonts w:asciiTheme="majorBidi" w:hAnsiTheme="majorBidi" w:cstheme="majorBidi"/>
          <w:i/>
          <w:iCs/>
          <w:sz w:val="24"/>
          <w:szCs w:val="24"/>
        </w:rPr>
        <w:t xml:space="preserve">actants </w:t>
      </w:r>
      <w:r w:rsidRPr="00D0567A">
        <w:rPr>
          <w:rFonts w:asciiTheme="majorBidi" w:hAnsiTheme="majorBidi" w:cstheme="majorBidi"/>
          <w:sz w:val="24"/>
          <w:szCs w:val="24"/>
        </w:rPr>
        <w:t xml:space="preserve">les unités désignant les êtres ou les choses qui, d’une manière ou d’une autre, même en tant que simples figurants, participent au </w:t>
      </w:r>
      <w:r w:rsidRPr="00D0567A">
        <w:rPr>
          <w:rFonts w:ascii="Times New Roman" w:hAnsi="Times New Roman" w:cs="Times New Roman"/>
          <w:sz w:val="24"/>
          <w:szCs w:val="24"/>
        </w:rPr>
        <w:t>procès exprimé par le</w:t>
      </w:r>
      <w:r w:rsidRPr="00D0567A">
        <w:rPr>
          <w:rFonts w:asciiTheme="majorBidi" w:hAnsiTheme="majorBidi" w:cstheme="majorBidi"/>
          <w:sz w:val="24"/>
          <w:szCs w:val="24"/>
        </w:rPr>
        <w:t xml:space="preserve"> </w:t>
      </w:r>
      <w:r w:rsidRPr="00D0567A">
        <w:rPr>
          <w:rFonts w:ascii="Times New Roman" w:hAnsi="Times New Roman" w:cs="Times New Roman"/>
          <w:sz w:val="24"/>
          <w:szCs w:val="24"/>
        </w:rPr>
        <w:t xml:space="preserve">verbe. Ainsi, dans la phrase </w:t>
      </w:r>
      <w:r w:rsidRPr="00D0567A">
        <w:rPr>
          <w:rFonts w:ascii="Times New Roman" w:hAnsi="Times New Roman" w:cs="Times New Roman"/>
          <w:i/>
          <w:iCs/>
          <w:sz w:val="24"/>
          <w:szCs w:val="24"/>
        </w:rPr>
        <w:t>Jacques donne un</w:t>
      </w:r>
      <w:r w:rsidR="00A673B2">
        <w:rPr>
          <w:rFonts w:asciiTheme="majorBidi" w:hAnsiTheme="majorBidi" w:cstheme="majorBidi"/>
          <w:sz w:val="24"/>
          <w:szCs w:val="24"/>
        </w:rPr>
        <w:t xml:space="preserve"> </w:t>
      </w:r>
      <w:r w:rsidRPr="00D0567A">
        <w:rPr>
          <w:rFonts w:ascii="Times New Roman" w:hAnsi="Times New Roman" w:cs="Times New Roman"/>
          <w:i/>
          <w:iCs/>
          <w:sz w:val="24"/>
          <w:szCs w:val="24"/>
        </w:rPr>
        <w:t xml:space="preserve">bonbon à son fis, bonbon </w:t>
      </w:r>
      <w:r w:rsidRPr="00D0567A">
        <w:rPr>
          <w:rFonts w:ascii="Times New Roman" w:hAnsi="Times New Roman" w:cs="Times New Roman"/>
          <w:sz w:val="24"/>
          <w:szCs w:val="24"/>
        </w:rPr>
        <w:t xml:space="preserve">et </w:t>
      </w:r>
      <w:r w:rsidRPr="00D0567A">
        <w:rPr>
          <w:rFonts w:ascii="Times New Roman" w:hAnsi="Times New Roman" w:cs="Times New Roman"/>
          <w:i/>
          <w:iCs/>
          <w:sz w:val="24"/>
          <w:szCs w:val="24"/>
        </w:rPr>
        <w:t xml:space="preserve">fils, </w:t>
      </w:r>
      <w:r w:rsidRPr="00D0567A">
        <w:rPr>
          <w:rFonts w:ascii="Times New Roman" w:hAnsi="Times New Roman" w:cs="Times New Roman"/>
          <w:sz w:val="24"/>
          <w:szCs w:val="24"/>
        </w:rPr>
        <w:t>qui ne représentent pas ceux qui font l’action, sont tout de même des actants. Les actants sont toujours des substantifs ou des équivalents de substantifs. Les verbes sont ainsi caractérisés par le</w:t>
      </w:r>
      <w:r w:rsidRPr="00D0567A">
        <w:rPr>
          <w:rFonts w:ascii="Times New Roman" w:hAnsi="Times New Roman" w:cs="Times New Roman" w:hint="cs"/>
          <w:sz w:val="24"/>
          <w:szCs w:val="24"/>
          <w:rtl/>
          <w:lang w:bidi="ar-DZ"/>
        </w:rPr>
        <w:t xml:space="preserve"> </w:t>
      </w:r>
      <w:r w:rsidRPr="00D0567A">
        <w:rPr>
          <w:rFonts w:ascii="Times New Roman" w:hAnsi="Times New Roman" w:cs="Times New Roman"/>
          <w:sz w:val="24"/>
          <w:szCs w:val="24"/>
        </w:rPr>
        <w:t xml:space="preserve">nombre d’actants qu’ils peuvent avoir. ((Il y a des verbes sans actant comme </w:t>
      </w:r>
      <w:r w:rsidRPr="00D0567A">
        <w:rPr>
          <w:rFonts w:ascii="Times New Roman" w:hAnsi="Times New Roman" w:cs="Times New Roman"/>
          <w:i/>
          <w:iCs/>
          <w:sz w:val="24"/>
          <w:szCs w:val="24"/>
        </w:rPr>
        <w:t xml:space="preserve">pleuvoir, </w:t>
      </w:r>
      <w:r w:rsidRPr="00D0567A">
        <w:rPr>
          <w:rFonts w:ascii="Times New Roman" w:hAnsi="Times New Roman" w:cs="Times New Roman"/>
          <w:sz w:val="24"/>
          <w:szCs w:val="24"/>
        </w:rPr>
        <w:t xml:space="preserve">des verbes </w:t>
      </w:r>
      <w:proofErr w:type="gramStart"/>
      <w:r w:rsidRPr="00D0567A">
        <w:rPr>
          <w:rFonts w:ascii="Times New Roman" w:hAnsi="Times New Roman" w:cs="Times New Roman"/>
          <w:sz w:val="24"/>
          <w:szCs w:val="24"/>
        </w:rPr>
        <w:t>a</w:t>
      </w:r>
      <w:proofErr w:type="gramEnd"/>
      <w:r w:rsidRPr="00D0567A">
        <w:rPr>
          <w:rFonts w:ascii="Times New Roman" w:hAnsi="Times New Roman" w:cs="Times New Roman"/>
          <w:sz w:val="24"/>
          <w:szCs w:val="24"/>
        </w:rPr>
        <w:t xml:space="preserve"> un actant comme </w:t>
      </w:r>
      <w:r w:rsidRPr="00D0567A">
        <w:rPr>
          <w:rFonts w:ascii="Times New Roman" w:hAnsi="Times New Roman" w:cs="Times New Roman"/>
          <w:i/>
          <w:iCs/>
          <w:sz w:val="24"/>
          <w:szCs w:val="24"/>
        </w:rPr>
        <w:t xml:space="preserve">tomber, </w:t>
      </w:r>
      <w:r w:rsidRPr="00D0567A">
        <w:rPr>
          <w:rFonts w:ascii="Times New Roman" w:hAnsi="Times New Roman" w:cs="Times New Roman"/>
          <w:sz w:val="24"/>
          <w:szCs w:val="24"/>
        </w:rPr>
        <w:t xml:space="preserve">des verbes a deux actants comme </w:t>
      </w:r>
      <w:r w:rsidRPr="00D0567A">
        <w:rPr>
          <w:rFonts w:ascii="Times New Roman" w:hAnsi="Times New Roman" w:cs="Times New Roman"/>
          <w:i/>
          <w:iCs/>
          <w:sz w:val="24"/>
          <w:szCs w:val="24"/>
        </w:rPr>
        <w:t xml:space="preserve">frapper, </w:t>
      </w:r>
      <w:r w:rsidRPr="00D0567A">
        <w:rPr>
          <w:rFonts w:ascii="Times New Roman" w:hAnsi="Times New Roman" w:cs="Times New Roman"/>
          <w:sz w:val="24"/>
          <w:szCs w:val="24"/>
        </w:rPr>
        <w:t xml:space="preserve">des verbes a trois actants comme </w:t>
      </w:r>
      <w:r w:rsidRPr="00D0567A">
        <w:rPr>
          <w:rFonts w:ascii="Times New Roman" w:hAnsi="Times New Roman" w:cs="Times New Roman"/>
          <w:i/>
          <w:iCs/>
          <w:sz w:val="24"/>
          <w:szCs w:val="24"/>
        </w:rPr>
        <w:t>donner.)</w:t>
      </w:r>
    </w:p>
    <w:p w:rsidR="00D0567A" w:rsidRPr="00D0567A" w:rsidRDefault="00D0567A" w:rsidP="00D0567A">
      <w:pPr>
        <w:autoSpaceDE w:val="0"/>
        <w:autoSpaceDN w:val="0"/>
        <w:adjustRightInd w:val="0"/>
        <w:spacing w:after="0" w:line="360" w:lineRule="auto"/>
        <w:jc w:val="right"/>
        <w:rPr>
          <w:rFonts w:ascii="Times New Roman" w:hAnsi="Times New Roman" w:cs="Times New Roman"/>
          <w:sz w:val="24"/>
          <w:szCs w:val="24"/>
        </w:rPr>
      </w:pPr>
      <w:r w:rsidRPr="00D0567A">
        <w:rPr>
          <w:rFonts w:ascii="Times New Roman" w:hAnsi="Times New Roman" w:cs="Times New Roman"/>
          <w:i/>
          <w:iCs/>
          <w:sz w:val="24"/>
          <w:szCs w:val="24"/>
        </w:rPr>
        <w:t>(Dictionnaire de linguistique Jean Dubois, p 14.)</w:t>
      </w:r>
    </w:p>
    <w:p w:rsidR="00D0567A" w:rsidRPr="00D0567A" w:rsidRDefault="00D0567A" w:rsidP="00D0567A">
      <w:pPr>
        <w:tabs>
          <w:tab w:val="right" w:pos="567"/>
        </w:tabs>
        <w:bidi/>
        <w:spacing w:line="360" w:lineRule="auto"/>
        <w:jc w:val="both"/>
        <w:rPr>
          <w:rFonts w:ascii="Traditional Arabic" w:hAnsi="Traditional Arabic" w:cs="Traditional Arabic"/>
          <w:b/>
          <w:bCs/>
          <w:sz w:val="24"/>
          <w:szCs w:val="24"/>
        </w:rPr>
      </w:pPr>
    </w:p>
    <w:p w:rsidR="0066676E" w:rsidRPr="00D0567A" w:rsidRDefault="0066676E" w:rsidP="00D0567A">
      <w:pPr>
        <w:spacing w:line="360" w:lineRule="auto"/>
        <w:jc w:val="both"/>
        <w:rPr>
          <w:rFonts w:asciiTheme="majorBidi" w:hAnsiTheme="majorBidi" w:cstheme="majorBidi"/>
          <w:sz w:val="24"/>
          <w:szCs w:val="24"/>
        </w:rPr>
      </w:pPr>
    </w:p>
    <w:sectPr w:rsidR="0066676E" w:rsidRPr="00D0567A" w:rsidSect="00F13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04670A"/>
    <w:rsid w:val="0004670A"/>
    <w:rsid w:val="000A20AE"/>
    <w:rsid w:val="001D111F"/>
    <w:rsid w:val="00325493"/>
    <w:rsid w:val="00385314"/>
    <w:rsid w:val="003F6776"/>
    <w:rsid w:val="005B5F01"/>
    <w:rsid w:val="005C289B"/>
    <w:rsid w:val="0060338C"/>
    <w:rsid w:val="0066676E"/>
    <w:rsid w:val="00A673B2"/>
    <w:rsid w:val="00B955E4"/>
    <w:rsid w:val="00D0567A"/>
    <w:rsid w:val="00E1553D"/>
    <w:rsid w:val="00F13DC4"/>
    <w:rsid w:val="00F301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670A"/>
    <w:pPr>
      <w:tabs>
        <w:tab w:val="center" w:pos="4153"/>
        <w:tab w:val="right" w:pos="8306"/>
      </w:tabs>
      <w:spacing w:after="0" w:line="240" w:lineRule="auto"/>
    </w:pPr>
  </w:style>
  <w:style w:type="character" w:customStyle="1" w:styleId="En-tteCar">
    <w:name w:val="En-tête Car"/>
    <w:basedOn w:val="Policepardfaut"/>
    <w:link w:val="En-tte"/>
    <w:uiPriority w:val="99"/>
    <w:rsid w:val="0004670A"/>
  </w:style>
  <w:style w:type="table" w:styleId="Grilledutableau">
    <w:name w:val="Table Grid"/>
    <w:basedOn w:val="TableauNormal"/>
    <w:uiPriority w:val="59"/>
    <w:rsid w:val="00046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467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70A"/>
    <w:rPr>
      <w:rFonts w:ascii="Tahoma" w:hAnsi="Tahoma" w:cs="Tahoma"/>
      <w:sz w:val="16"/>
      <w:szCs w:val="16"/>
    </w:rPr>
  </w:style>
  <w:style w:type="paragraph" w:styleId="Paragraphedeliste">
    <w:name w:val="List Paragraph"/>
    <w:basedOn w:val="Normal"/>
    <w:uiPriority w:val="34"/>
    <w:qFormat/>
    <w:rsid w:val="000467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3902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2024-02-26T15:06:00Z</dcterms:created>
  <dcterms:modified xsi:type="dcterms:W3CDTF">2024-02-26T15:06:00Z</dcterms:modified>
</cp:coreProperties>
</file>