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CAC" w:rsidRPr="00C10D46" w:rsidRDefault="00370CAC" w:rsidP="00370CAC">
      <w:pPr>
        <w:rPr>
          <w:rFonts w:asciiTheme="majorBidi" w:hAnsiTheme="majorBidi" w:cstheme="majorBidi"/>
          <w:b/>
          <w:bCs/>
          <w:sz w:val="28"/>
          <w:szCs w:val="28"/>
        </w:rPr>
      </w:pPr>
      <w:r w:rsidRPr="00C10D46">
        <w:rPr>
          <w:rFonts w:asciiTheme="majorBidi" w:hAnsiTheme="majorBidi" w:cstheme="majorBidi"/>
          <w:b/>
          <w:bCs/>
          <w:sz w:val="28"/>
          <w:szCs w:val="28"/>
        </w:rPr>
        <w:t xml:space="preserve">III. Hiérarchisation et classification des peuplements </w:t>
      </w:r>
    </w:p>
    <w:p w:rsidR="00370CAC" w:rsidRDefault="00370CAC" w:rsidP="00370CAC">
      <w:pPr>
        <w:rPr>
          <w:rFonts w:asciiTheme="majorBidi" w:hAnsiTheme="majorBidi" w:cstheme="majorBidi"/>
          <w:b/>
          <w:bCs/>
          <w:sz w:val="28"/>
          <w:szCs w:val="28"/>
        </w:rPr>
      </w:pPr>
      <w:r w:rsidRPr="00C10D46">
        <w:rPr>
          <w:rFonts w:asciiTheme="majorBidi" w:hAnsiTheme="majorBidi" w:cstheme="majorBidi"/>
          <w:b/>
          <w:bCs/>
          <w:sz w:val="28"/>
          <w:szCs w:val="28"/>
        </w:rPr>
        <w:t>III.1. Méthodes qualitatives</w:t>
      </w:r>
    </w:p>
    <w:p w:rsidR="00370CAC" w:rsidRPr="00D52A3A" w:rsidRDefault="00370CAC" w:rsidP="00370CAC">
      <w:pPr>
        <w:jc w:val="both"/>
        <w:rPr>
          <w:rFonts w:asciiTheme="majorBidi" w:hAnsiTheme="majorBidi" w:cstheme="majorBidi"/>
          <w:sz w:val="28"/>
          <w:szCs w:val="28"/>
        </w:rPr>
      </w:pPr>
      <w:r w:rsidRPr="00D52A3A">
        <w:rPr>
          <w:rFonts w:asciiTheme="majorBidi" w:hAnsiTheme="majorBidi" w:cstheme="majorBidi"/>
          <w:sz w:val="28"/>
          <w:szCs w:val="28"/>
        </w:rPr>
        <w:t>L'étude de la végétation et de ses relations avec le milieu s’est développée à partir du début du 20</w:t>
      </w:r>
      <w:r w:rsidRPr="00C96E53">
        <w:rPr>
          <w:rFonts w:asciiTheme="majorBidi" w:hAnsiTheme="majorBidi" w:cstheme="majorBidi"/>
          <w:sz w:val="28"/>
          <w:szCs w:val="28"/>
          <w:vertAlign w:val="superscript"/>
        </w:rPr>
        <w:t>e</w:t>
      </w:r>
      <w:r>
        <w:rPr>
          <w:rFonts w:asciiTheme="majorBidi" w:hAnsiTheme="majorBidi" w:cstheme="majorBidi"/>
          <w:sz w:val="28"/>
          <w:szCs w:val="28"/>
        </w:rPr>
        <w:t xml:space="preserve"> </w:t>
      </w:r>
      <w:r w:rsidRPr="00D52A3A">
        <w:rPr>
          <w:rFonts w:asciiTheme="majorBidi" w:hAnsiTheme="majorBidi" w:cstheme="majorBidi"/>
          <w:sz w:val="28"/>
          <w:szCs w:val="28"/>
        </w:rPr>
        <w:t xml:space="preserve">siècle à travers la phytosociologie. </w:t>
      </w:r>
      <w:r>
        <w:rPr>
          <w:rFonts w:asciiTheme="majorBidi" w:hAnsiTheme="majorBidi" w:cstheme="majorBidi"/>
          <w:sz w:val="28"/>
          <w:szCs w:val="28"/>
        </w:rPr>
        <w:t>Elle</w:t>
      </w:r>
      <w:r w:rsidRPr="00D52A3A">
        <w:rPr>
          <w:rFonts w:asciiTheme="majorBidi" w:hAnsiTheme="majorBidi" w:cstheme="majorBidi"/>
          <w:sz w:val="28"/>
          <w:szCs w:val="28"/>
        </w:rPr>
        <w:t xml:space="preserve"> étudie de façon descriptive les communautés végétales et leurs relations avec le milieu dans une perspective à la fois phytoécologique et phytogéographique. </w:t>
      </w:r>
    </w:p>
    <w:p w:rsidR="00370CAC" w:rsidRPr="00D52A3A" w:rsidRDefault="00370CAC" w:rsidP="00370CAC">
      <w:pPr>
        <w:jc w:val="both"/>
        <w:rPr>
          <w:rFonts w:asciiTheme="majorBidi" w:hAnsiTheme="majorBidi" w:cstheme="majorBidi"/>
          <w:sz w:val="28"/>
          <w:szCs w:val="28"/>
        </w:rPr>
      </w:pPr>
      <w:r w:rsidRPr="00D52A3A">
        <w:rPr>
          <w:rFonts w:asciiTheme="majorBidi" w:hAnsiTheme="majorBidi" w:cstheme="majorBidi"/>
          <w:sz w:val="28"/>
          <w:szCs w:val="28"/>
        </w:rPr>
        <w:t xml:space="preserve">Son objectif n'est pas uniquement la diagnose floristique et la classification des communautés végétales mais aussi l'étude de leur dynamique, de leurs relations avec les variables de l'environnement, leur évolution et leur genèse.  Le fondement méthodologique de la phytosociologie est le relevé de végétation. </w:t>
      </w:r>
    </w:p>
    <w:p w:rsidR="00370CAC" w:rsidRPr="00C47882" w:rsidRDefault="00370CAC" w:rsidP="00370CAC">
      <w:pPr>
        <w:rPr>
          <w:rFonts w:asciiTheme="majorBidi" w:hAnsiTheme="majorBidi" w:cstheme="majorBidi"/>
          <w:b/>
          <w:bCs/>
          <w:sz w:val="28"/>
          <w:szCs w:val="28"/>
        </w:rPr>
      </w:pPr>
      <w:r w:rsidRPr="00C47882">
        <w:rPr>
          <w:rFonts w:asciiTheme="majorBidi" w:hAnsiTheme="majorBidi" w:cstheme="majorBidi"/>
          <w:b/>
          <w:bCs/>
          <w:sz w:val="28"/>
          <w:szCs w:val="28"/>
        </w:rPr>
        <w:t xml:space="preserve">III.1.1. Méthode sigmatiste et nomenclature phytosociologique </w:t>
      </w:r>
    </w:p>
    <w:p w:rsidR="00370CAC" w:rsidRDefault="00370CAC" w:rsidP="00370CAC">
      <w:pPr>
        <w:rPr>
          <w:rFonts w:asciiTheme="majorBidi" w:hAnsiTheme="majorBidi" w:cstheme="majorBidi"/>
          <w:b/>
          <w:bCs/>
          <w:sz w:val="28"/>
          <w:szCs w:val="28"/>
        </w:rPr>
      </w:pPr>
      <w:r w:rsidRPr="00C47882">
        <w:rPr>
          <w:rFonts w:asciiTheme="majorBidi" w:hAnsiTheme="majorBidi" w:cstheme="majorBidi"/>
          <w:b/>
          <w:bCs/>
          <w:sz w:val="28"/>
          <w:szCs w:val="28"/>
        </w:rPr>
        <w:t xml:space="preserve">III.1.1.1. Présentation de la méthode de Braun-Blanquet  </w:t>
      </w:r>
    </w:p>
    <w:p w:rsidR="00370CAC" w:rsidRPr="005A6B5B" w:rsidRDefault="00370CAC" w:rsidP="00370CAC">
      <w:pPr>
        <w:rPr>
          <w:rFonts w:asciiTheme="majorBidi" w:hAnsiTheme="majorBidi" w:cstheme="majorBidi"/>
          <w:b/>
          <w:bCs/>
          <w:sz w:val="28"/>
          <w:szCs w:val="28"/>
        </w:rPr>
      </w:pPr>
      <w:r>
        <w:rPr>
          <w:rFonts w:asciiTheme="majorBidi" w:hAnsiTheme="majorBidi" w:cstheme="majorBidi"/>
          <w:b/>
          <w:bCs/>
          <w:sz w:val="28"/>
          <w:szCs w:val="28"/>
        </w:rPr>
        <w:t>a</w:t>
      </w:r>
      <w:r w:rsidRPr="005A6B5B">
        <w:rPr>
          <w:rFonts w:asciiTheme="majorBidi" w:hAnsiTheme="majorBidi" w:cstheme="majorBidi"/>
          <w:b/>
          <w:bCs/>
          <w:sz w:val="28"/>
          <w:szCs w:val="28"/>
        </w:rPr>
        <w:t>. La technique du relevé</w:t>
      </w:r>
    </w:p>
    <w:p w:rsidR="00370CAC" w:rsidRDefault="00370CAC" w:rsidP="00370CAC">
      <w:pPr>
        <w:jc w:val="both"/>
        <w:rPr>
          <w:rFonts w:asciiTheme="majorBidi" w:hAnsiTheme="majorBidi" w:cstheme="majorBidi"/>
          <w:sz w:val="28"/>
          <w:szCs w:val="28"/>
        </w:rPr>
      </w:pPr>
      <w:r w:rsidRPr="005A6B5B">
        <w:rPr>
          <w:rFonts w:asciiTheme="majorBidi" w:hAnsiTheme="majorBidi" w:cstheme="majorBidi"/>
          <w:sz w:val="28"/>
          <w:szCs w:val="28"/>
        </w:rPr>
        <w:t xml:space="preserve">Pour décrire le couvert végétal d’une région, il est indispensable d’en connaître la flore et d’avoir reconnu, sur le terrain, des groupes socio-écologiques constitués de plantes ayant approximativement les mêmes exigences en ce qui concerne les caractères du milieu où elles croissent. Les notes prises doivent constituer une documentation aussi précise et aussi objective que possible. Une méthode efficace est celle basée sur la technique du relevé de la végétation, introduite en écologie durant la seconde moitié du </w:t>
      </w:r>
      <w:r>
        <w:rPr>
          <w:rFonts w:asciiTheme="majorBidi" w:hAnsiTheme="majorBidi" w:cstheme="majorBidi"/>
          <w:sz w:val="28"/>
          <w:szCs w:val="28"/>
        </w:rPr>
        <w:t>19éme</w:t>
      </w:r>
      <w:r w:rsidRPr="005A6B5B">
        <w:rPr>
          <w:rFonts w:asciiTheme="majorBidi" w:hAnsiTheme="majorBidi" w:cstheme="majorBidi"/>
          <w:sz w:val="28"/>
          <w:szCs w:val="28"/>
        </w:rPr>
        <w:t xml:space="preserve"> siècle et mise au point par J. Braun-Blanquet (1951) et ses collaborateurs et l’école « zuricho-montpelliéraine ».</w:t>
      </w:r>
    </w:p>
    <w:p w:rsidR="00370CAC" w:rsidRPr="005A6B5B" w:rsidRDefault="00370CAC" w:rsidP="00370CAC">
      <w:pPr>
        <w:numPr>
          <w:ilvl w:val="0"/>
          <w:numId w:val="1"/>
        </w:numPr>
        <w:rPr>
          <w:rFonts w:asciiTheme="majorBidi" w:hAnsiTheme="majorBidi" w:cstheme="majorBidi"/>
          <w:sz w:val="28"/>
          <w:szCs w:val="28"/>
        </w:rPr>
      </w:pPr>
      <w:r w:rsidRPr="005A6B5B">
        <w:rPr>
          <w:rFonts w:asciiTheme="majorBidi" w:hAnsiTheme="majorBidi" w:cstheme="majorBidi"/>
          <w:b/>
          <w:bCs/>
          <w:sz w:val="28"/>
          <w:szCs w:val="28"/>
        </w:rPr>
        <w:t>Choix du placeau étudié : homogénéité et dimension</w:t>
      </w:r>
    </w:p>
    <w:p w:rsidR="00370CAC" w:rsidRDefault="00370CAC" w:rsidP="00370CAC">
      <w:pPr>
        <w:jc w:val="both"/>
        <w:rPr>
          <w:rFonts w:asciiTheme="majorBidi" w:hAnsiTheme="majorBidi" w:cstheme="majorBidi"/>
          <w:sz w:val="28"/>
          <w:szCs w:val="28"/>
        </w:rPr>
      </w:pPr>
      <w:r w:rsidRPr="00A14269">
        <w:rPr>
          <w:rFonts w:asciiTheme="majorBidi" w:hAnsiTheme="majorBidi" w:cstheme="majorBidi"/>
          <w:sz w:val="28"/>
          <w:szCs w:val="28"/>
        </w:rPr>
        <w:t>La première chose à faire avant de réaliser les relevés est de bien visualiser les différentes unités</w:t>
      </w:r>
      <w:r>
        <w:rPr>
          <w:rFonts w:asciiTheme="majorBidi" w:hAnsiTheme="majorBidi" w:cstheme="majorBidi"/>
          <w:sz w:val="28"/>
          <w:szCs w:val="28"/>
        </w:rPr>
        <w:t xml:space="preserve"> </w:t>
      </w:r>
      <w:r w:rsidRPr="00A14269">
        <w:rPr>
          <w:rFonts w:asciiTheme="majorBidi" w:hAnsiTheme="majorBidi" w:cstheme="majorBidi"/>
          <w:sz w:val="28"/>
          <w:szCs w:val="28"/>
        </w:rPr>
        <w:t>de végétation homogènes (qui par extension, sont appelées individus d’associations) du site. Cette</w:t>
      </w:r>
      <w:r>
        <w:rPr>
          <w:rFonts w:asciiTheme="majorBidi" w:hAnsiTheme="majorBidi" w:cstheme="majorBidi"/>
          <w:sz w:val="28"/>
          <w:szCs w:val="28"/>
        </w:rPr>
        <w:t xml:space="preserve"> </w:t>
      </w:r>
      <w:r w:rsidRPr="00A14269">
        <w:rPr>
          <w:rFonts w:asciiTheme="majorBidi" w:hAnsiTheme="majorBidi" w:cstheme="majorBidi"/>
          <w:sz w:val="28"/>
          <w:szCs w:val="28"/>
        </w:rPr>
        <w:t>délimitation se fait sur la base de l’homogénéité floristique (composition spécifique) et</w:t>
      </w:r>
      <w:r>
        <w:rPr>
          <w:rFonts w:asciiTheme="majorBidi" w:hAnsiTheme="majorBidi" w:cstheme="majorBidi"/>
          <w:sz w:val="28"/>
          <w:szCs w:val="28"/>
        </w:rPr>
        <w:t xml:space="preserve"> </w:t>
      </w:r>
      <w:r w:rsidRPr="00A14269">
        <w:rPr>
          <w:rFonts w:asciiTheme="majorBidi" w:hAnsiTheme="majorBidi" w:cstheme="majorBidi"/>
          <w:sz w:val="28"/>
          <w:szCs w:val="28"/>
        </w:rPr>
        <w:t xml:space="preserve">physionomique (structure), ces deux aspects traduisant l’homogénéité écologique. </w:t>
      </w:r>
    </w:p>
    <w:p w:rsidR="00370CAC" w:rsidRDefault="00370CAC" w:rsidP="00370CAC">
      <w:pPr>
        <w:jc w:val="both"/>
        <w:rPr>
          <w:rFonts w:asciiTheme="majorBidi" w:hAnsiTheme="majorBidi" w:cstheme="majorBidi"/>
          <w:sz w:val="28"/>
          <w:szCs w:val="28"/>
        </w:rPr>
      </w:pPr>
      <w:r>
        <w:rPr>
          <w:rFonts w:asciiTheme="majorBidi" w:hAnsiTheme="majorBidi" w:cstheme="majorBidi"/>
          <w:sz w:val="28"/>
          <w:szCs w:val="28"/>
        </w:rPr>
        <w:t xml:space="preserve">D’abord </w:t>
      </w:r>
      <w:r w:rsidRPr="00A14269">
        <w:rPr>
          <w:rFonts w:asciiTheme="majorBidi" w:hAnsiTheme="majorBidi" w:cstheme="majorBidi"/>
          <w:sz w:val="28"/>
          <w:szCs w:val="28"/>
        </w:rPr>
        <w:t>il faut commencer par repérer l’uniformité des couleurs et des textures dans la végétation, la</w:t>
      </w:r>
      <w:r>
        <w:rPr>
          <w:rFonts w:asciiTheme="majorBidi" w:hAnsiTheme="majorBidi" w:cstheme="majorBidi"/>
          <w:sz w:val="28"/>
          <w:szCs w:val="28"/>
        </w:rPr>
        <w:t xml:space="preserve"> </w:t>
      </w:r>
      <w:r w:rsidRPr="00A14269">
        <w:rPr>
          <w:rFonts w:asciiTheme="majorBidi" w:hAnsiTheme="majorBidi" w:cstheme="majorBidi"/>
          <w:sz w:val="28"/>
          <w:szCs w:val="28"/>
        </w:rPr>
        <w:t>répétition d'un motif sur le sol et la cohérence de la stratification verticale. Cette première étape ne</w:t>
      </w:r>
      <w:r>
        <w:rPr>
          <w:rFonts w:asciiTheme="majorBidi" w:hAnsiTheme="majorBidi" w:cstheme="majorBidi"/>
          <w:sz w:val="28"/>
          <w:szCs w:val="28"/>
        </w:rPr>
        <w:t xml:space="preserve"> </w:t>
      </w:r>
      <w:r w:rsidRPr="00A14269">
        <w:rPr>
          <w:rFonts w:asciiTheme="majorBidi" w:hAnsiTheme="majorBidi" w:cstheme="majorBidi"/>
          <w:sz w:val="28"/>
          <w:szCs w:val="28"/>
        </w:rPr>
        <w:t xml:space="preserve">demande pour l’instant qu’une « compétence visuelle », </w:t>
      </w:r>
      <w:r>
        <w:rPr>
          <w:rFonts w:asciiTheme="majorBidi" w:hAnsiTheme="majorBidi" w:cstheme="majorBidi"/>
          <w:sz w:val="28"/>
          <w:szCs w:val="28"/>
        </w:rPr>
        <w:t>donc</w:t>
      </w:r>
      <w:r w:rsidRPr="00A14269">
        <w:rPr>
          <w:rFonts w:asciiTheme="majorBidi" w:hAnsiTheme="majorBidi" w:cstheme="majorBidi"/>
          <w:sz w:val="28"/>
          <w:szCs w:val="28"/>
        </w:rPr>
        <w:t xml:space="preserve"> une capacité à distinguer et</w:t>
      </w:r>
      <w:r>
        <w:rPr>
          <w:rFonts w:asciiTheme="majorBidi" w:hAnsiTheme="majorBidi" w:cstheme="majorBidi"/>
          <w:sz w:val="28"/>
          <w:szCs w:val="28"/>
        </w:rPr>
        <w:t xml:space="preserve"> </w:t>
      </w:r>
      <w:r w:rsidRPr="00A14269">
        <w:rPr>
          <w:rFonts w:asciiTheme="majorBidi" w:hAnsiTheme="majorBidi" w:cstheme="majorBidi"/>
          <w:sz w:val="28"/>
          <w:szCs w:val="28"/>
        </w:rPr>
        <w:t xml:space="preserve">séparer les unités </w:t>
      </w:r>
      <w:r>
        <w:rPr>
          <w:rFonts w:asciiTheme="majorBidi" w:hAnsiTheme="majorBidi" w:cstheme="majorBidi"/>
          <w:sz w:val="28"/>
          <w:szCs w:val="28"/>
        </w:rPr>
        <w:t xml:space="preserve"> </w:t>
      </w:r>
      <w:r w:rsidRPr="00A14269">
        <w:rPr>
          <w:rFonts w:asciiTheme="majorBidi" w:hAnsiTheme="majorBidi" w:cstheme="majorBidi"/>
          <w:sz w:val="28"/>
          <w:szCs w:val="28"/>
        </w:rPr>
        <w:t>hysionomiquement homogènes du point de vue de leur structure générale</w:t>
      </w:r>
      <w:r>
        <w:rPr>
          <w:rFonts w:asciiTheme="majorBidi" w:hAnsiTheme="majorBidi" w:cstheme="majorBidi"/>
          <w:sz w:val="28"/>
          <w:szCs w:val="28"/>
        </w:rPr>
        <w:t xml:space="preserve"> </w:t>
      </w:r>
      <w:r w:rsidRPr="00A14269">
        <w:rPr>
          <w:rFonts w:asciiTheme="majorBidi" w:hAnsiTheme="majorBidi" w:cstheme="majorBidi"/>
          <w:sz w:val="28"/>
          <w:szCs w:val="28"/>
        </w:rPr>
        <w:t xml:space="preserve">(formations végétales). </w:t>
      </w:r>
      <w:bookmarkStart w:id="0" w:name="_GoBack"/>
      <w:bookmarkEnd w:id="0"/>
    </w:p>
    <w:p w:rsidR="00370CAC" w:rsidRDefault="00370CAC" w:rsidP="00370CAC">
      <w:pPr>
        <w:jc w:val="both"/>
        <w:rPr>
          <w:rFonts w:asciiTheme="majorBidi" w:hAnsiTheme="majorBidi" w:cstheme="majorBidi"/>
          <w:sz w:val="28"/>
          <w:szCs w:val="28"/>
        </w:rPr>
      </w:pPr>
      <w:r w:rsidRPr="00A14269">
        <w:rPr>
          <w:rFonts w:asciiTheme="majorBidi" w:hAnsiTheme="majorBidi" w:cstheme="majorBidi"/>
          <w:sz w:val="28"/>
          <w:szCs w:val="28"/>
        </w:rPr>
        <w:t>Ensuite, à l’intérieur de chacune de ces formations, il faudra s’assurer que la</w:t>
      </w:r>
      <w:r>
        <w:rPr>
          <w:rFonts w:asciiTheme="majorBidi" w:hAnsiTheme="majorBidi" w:cstheme="majorBidi"/>
          <w:sz w:val="28"/>
          <w:szCs w:val="28"/>
        </w:rPr>
        <w:t xml:space="preserve"> </w:t>
      </w:r>
      <w:r w:rsidRPr="00A14269">
        <w:rPr>
          <w:rFonts w:asciiTheme="majorBidi" w:hAnsiTheme="majorBidi" w:cstheme="majorBidi"/>
          <w:sz w:val="28"/>
          <w:szCs w:val="28"/>
        </w:rPr>
        <w:t xml:space="preserve">composition floristique est homogène et répétitive et qu’il n’existe pas de rupture </w:t>
      </w:r>
      <w:r w:rsidRPr="00A14269">
        <w:rPr>
          <w:rFonts w:asciiTheme="majorBidi" w:hAnsiTheme="majorBidi" w:cstheme="majorBidi"/>
          <w:sz w:val="28"/>
          <w:szCs w:val="28"/>
        </w:rPr>
        <w:lastRenderedPageBreak/>
        <w:t>écologique.</w:t>
      </w:r>
      <w:r>
        <w:rPr>
          <w:rFonts w:asciiTheme="majorBidi" w:hAnsiTheme="majorBidi" w:cstheme="majorBidi"/>
          <w:sz w:val="28"/>
          <w:szCs w:val="28"/>
        </w:rPr>
        <w:t xml:space="preserve"> </w:t>
      </w:r>
      <w:r w:rsidRPr="00A14269">
        <w:rPr>
          <w:rFonts w:asciiTheme="majorBidi" w:hAnsiTheme="majorBidi" w:cstheme="majorBidi"/>
          <w:sz w:val="28"/>
          <w:szCs w:val="28"/>
        </w:rPr>
        <w:t>Chaque unité floristiquement et écologiquement homogène au sein des formations constitue</w:t>
      </w:r>
      <w:r>
        <w:rPr>
          <w:rFonts w:asciiTheme="majorBidi" w:hAnsiTheme="majorBidi" w:cstheme="majorBidi"/>
          <w:sz w:val="28"/>
          <w:szCs w:val="28"/>
        </w:rPr>
        <w:t xml:space="preserve"> </w:t>
      </w:r>
      <w:r w:rsidRPr="00A14269">
        <w:rPr>
          <w:rFonts w:asciiTheme="majorBidi" w:hAnsiTheme="majorBidi" w:cstheme="majorBidi"/>
          <w:sz w:val="28"/>
          <w:szCs w:val="28"/>
        </w:rPr>
        <w:t>potentiellement un individu d’association.</w:t>
      </w:r>
    </w:p>
    <w:p w:rsidR="00370CAC" w:rsidRDefault="00370CAC" w:rsidP="00370CAC">
      <w:pPr>
        <w:rPr>
          <w:rFonts w:asciiTheme="majorBidi" w:hAnsiTheme="majorBidi" w:cstheme="majorBidi"/>
          <w:sz w:val="28"/>
          <w:szCs w:val="28"/>
        </w:rPr>
      </w:pPr>
      <w:r>
        <w:rPr>
          <w:noProof/>
          <w:lang w:eastAsia="fr-FR"/>
        </w:rPr>
        <w:drawing>
          <wp:inline distT="0" distB="0" distL="0" distR="0" wp14:anchorId="43E67688" wp14:editId="7B5E1D83">
            <wp:extent cx="5760720" cy="27305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730500"/>
                    </a:xfrm>
                    <a:prstGeom prst="rect">
                      <a:avLst/>
                    </a:prstGeom>
                  </pic:spPr>
                </pic:pic>
              </a:graphicData>
            </a:graphic>
          </wp:inline>
        </w:drawing>
      </w:r>
    </w:p>
    <w:p w:rsidR="00370CAC" w:rsidRDefault="00370CAC" w:rsidP="00370CAC">
      <w:pPr>
        <w:rPr>
          <w:rFonts w:asciiTheme="majorBidi" w:hAnsiTheme="majorBidi" w:cstheme="majorBidi"/>
          <w:sz w:val="28"/>
          <w:szCs w:val="28"/>
        </w:rPr>
      </w:pPr>
      <w:r w:rsidRPr="002655AF">
        <w:rPr>
          <w:rFonts w:asciiTheme="majorBidi" w:hAnsiTheme="majorBidi" w:cstheme="majorBidi"/>
          <w:b/>
          <w:bCs/>
          <w:sz w:val="28"/>
          <w:szCs w:val="28"/>
        </w:rPr>
        <w:t xml:space="preserve">Figure </w:t>
      </w:r>
      <w:r>
        <w:rPr>
          <w:rFonts w:asciiTheme="majorBidi" w:hAnsiTheme="majorBidi" w:cstheme="majorBidi"/>
          <w:b/>
          <w:bCs/>
          <w:sz w:val="28"/>
          <w:szCs w:val="28"/>
        </w:rPr>
        <w:t>11</w:t>
      </w:r>
      <w:r w:rsidRPr="002655AF">
        <w:rPr>
          <w:rFonts w:asciiTheme="majorBidi" w:hAnsiTheme="majorBidi" w:cstheme="majorBidi"/>
          <w:b/>
          <w:bCs/>
          <w:sz w:val="28"/>
          <w:szCs w:val="28"/>
        </w:rPr>
        <w:t xml:space="preserve"> :</w:t>
      </w:r>
      <w:r w:rsidRPr="002655AF">
        <w:rPr>
          <w:rFonts w:asciiTheme="majorBidi" w:hAnsiTheme="majorBidi" w:cstheme="majorBidi"/>
          <w:sz w:val="28"/>
          <w:szCs w:val="28"/>
        </w:rPr>
        <w:t xml:space="preserve"> a. les individus d’association A et B ont une limite nette ; b. les individus</w:t>
      </w:r>
      <w:r>
        <w:rPr>
          <w:rFonts w:asciiTheme="majorBidi" w:hAnsiTheme="majorBidi" w:cstheme="majorBidi"/>
          <w:sz w:val="28"/>
          <w:szCs w:val="28"/>
        </w:rPr>
        <w:t xml:space="preserve"> </w:t>
      </w:r>
      <w:r w:rsidRPr="002655AF">
        <w:rPr>
          <w:rFonts w:asciiTheme="majorBidi" w:hAnsiTheme="majorBidi" w:cstheme="majorBidi"/>
          <w:sz w:val="28"/>
          <w:szCs w:val="28"/>
        </w:rPr>
        <w:t>d’association A et B ont une limite floue</w:t>
      </w:r>
      <w:r>
        <w:rPr>
          <w:rFonts w:asciiTheme="majorBidi" w:hAnsiTheme="majorBidi" w:cstheme="majorBidi"/>
          <w:sz w:val="28"/>
          <w:szCs w:val="28"/>
        </w:rPr>
        <w:t xml:space="preserve"> (</w:t>
      </w:r>
      <w:r w:rsidRPr="000C2F15">
        <w:rPr>
          <w:rFonts w:asciiTheme="majorBidi" w:hAnsiTheme="majorBidi" w:cstheme="majorBidi"/>
          <w:sz w:val="28"/>
          <w:szCs w:val="28"/>
        </w:rPr>
        <w:t>Delassus</w:t>
      </w:r>
      <w:r>
        <w:rPr>
          <w:rFonts w:asciiTheme="majorBidi" w:hAnsiTheme="majorBidi" w:cstheme="majorBidi"/>
          <w:sz w:val="28"/>
          <w:szCs w:val="28"/>
        </w:rPr>
        <w:t>, 2016)</w:t>
      </w:r>
      <w:r w:rsidRPr="000C2F15">
        <w:rPr>
          <w:rFonts w:asciiTheme="majorBidi" w:hAnsiTheme="majorBidi" w:cstheme="majorBidi"/>
          <w:sz w:val="28"/>
          <w:szCs w:val="28"/>
        </w:rPr>
        <w:t>.</w:t>
      </w:r>
    </w:p>
    <w:p w:rsidR="00370CAC" w:rsidRPr="005A6B5B" w:rsidRDefault="00370CAC" w:rsidP="00370CAC">
      <w:pPr>
        <w:numPr>
          <w:ilvl w:val="0"/>
          <w:numId w:val="2"/>
        </w:numPr>
        <w:rPr>
          <w:rFonts w:asciiTheme="majorBidi" w:hAnsiTheme="majorBidi" w:cstheme="majorBidi"/>
          <w:sz w:val="28"/>
          <w:szCs w:val="28"/>
        </w:rPr>
      </w:pPr>
      <w:r w:rsidRPr="005A6B5B">
        <w:rPr>
          <w:rFonts w:asciiTheme="majorBidi" w:hAnsiTheme="majorBidi" w:cstheme="majorBidi"/>
          <w:b/>
          <w:bCs/>
          <w:sz w:val="28"/>
          <w:szCs w:val="28"/>
        </w:rPr>
        <w:t>Aire minimale</w:t>
      </w:r>
    </w:p>
    <w:p w:rsidR="00370CAC" w:rsidRDefault="00370CAC" w:rsidP="00370CAC">
      <w:pPr>
        <w:jc w:val="both"/>
        <w:rPr>
          <w:rFonts w:asciiTheme="majorBidi" w:hAnsiTheme="majorBidi" w:cstheme="majorBidi"/>
          <w:sz w:val="28"/>
          <w:szCs w:val="28"/>
        </w:rPr>
      </w:pPr>
      <w:r w:rsidRPr="005A6B5B">
        <w:rPr>
          <w:rFonts w:asciiTheme="majorBidi" w:hAnsiTheme="majorBidi" w:cstheme="majorBidi"/>
          <w:sz w:val="28"/>
          <w:szCs w:val="28"/>
        </w:rPr>
        <w:t>L’homogénéité floristique peut être éprouvée par le test de l’</w:t>
      </w:r>
      <w:r w:rsidRPr="005A6B5B">
        <w:rPr>
          <w:rFonts w:asciiTheme="majorBidi" w:hAnsiTheme="majorBidi" w:cstheme="majorBidi"/>
          <w:b/>
          <w:bCs/>
          <w:sz w:val="28"/>
          <w:szCs w:val="28"/>
        </w:rPr>
        <w:t>aire minimale</w:t>
      </w:r>
      <w:r w:rsidRPr="005A6B5B">
        <w:rPr>
          <w:rFonts w:asciiTheme="majorBidi" w:hAnsiTheme="majorBidi" w:cstheme="majorBidi"/>
          <w:sz w:val="28"/>
          <w:szCs w:val="28"/>
        </w:rPr>
        <w:t xml:space="preserve">. Il suffit pour ce faire de relever les espèces présentes sur une surface échantillon délimitée en endroit apparemment homogène; on tient compte </w:t>
      </w:r>
      <w:r>
        <w:rPr>
          <w:rFonts w:asciiTheme="majorBidi" w:hAnsiTheme="majorBidi" w:cstheme="majorBidi"/>
          <w:sz w:val="28"/>
          <w:szCs w:val="28"/>
        </w:rPr>
        <w:t>s</w:t>
      </w:r>
      <w:r w:rsidRPr="005A6B5B">
        <w:rPr>
          <w:rFonts w:asciiTheme="majorBidi" w:hAnsiTheme="majorBidi" w:cstheme="majorBidi"/>
          <w:sz w:val="28"/>
          <w:szCs w:val="28"/>
        </w:rPr>
        <w:t xml:space="preserve">uccessivement et on ajoute, à la première liste, toutes les espèces qui apparaissent chaque fois que l’on double la surface. La courbe d’accroissement du nombre d’espèces en fonction de la surface présente d’abord une pente raide qui finit par s’infléchir et atteindre un palier; cette allure indique qu’à partir d’une certaine dimension de l’échantillon, -appelée </w:t>
      </w:r>
      <w:r w:rsidRPr="00C86340">
        <w:rPr>
          <w:rFonts w:asciiTheme="majorBidi" w:hAnsiTheme="majorBidi" w:cstheme="majorBidi"/>
          <w:b/>
          <w:bCs/>
          <w:sz w:val="28"/>
          <w:szCs w:val="28"/>
        </w:rPr>
        <w:t>aire minimale</w:t>
      </w:r>
      <w:r w:rsidRPr="005A6B5B">
        <w:rPr>
          <w:rFonts w:asciiTheme="majorBidi" w:hAnsiTheme="majorBidi" w:cstheme="majorBidi"/>
          <w:sz w:val="28"/>
          <w:szCs w:val="28"/>
        </w:rPr>
        <w:t>-, l’augmentation de la surface n’est pratiquement plus accompagnée d’un gain d’espèces.</w:t>
      </w:r>
    </w:p>
    <w:p w:rsidR="00370CAC" w:rsidRDefault="00370CAC" w:rsidP="00370CAC">
      <w:r>
        <w:rPr>
          <w:noProof/>
          <w:lang w:eastAsia="fr-FR"/>
        </w:rPr>
        <w:drawing>
          <wp:inline distT="0" distB="0" distL="0" distR="0" wp14:anchorId="649F302F" wp14:editId="4A08762E">
            <wp:extent cx="2661285" cy="2146300"/>
            <wp:effectExtent l="0" t="0" r="5715" b="6350"/>
            <wp:docPr id="2" name="Image 2" descr="Ecologie: Les techniques d'étude des milieux naturels – Khaymas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logie: Les techniques d'étude des milieux naturels – Khaymasv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3953" cy="2156517"/>
                    </a:xfrm>
                    <a:prstGeom prst="rect">
                      <a:avLst/>
                    </a:prstGeom>
                    <a:noFill/>
                    <a:ln>
                      <a:noFill/>
                    </a:ln>
                  </pic:spPr>
                </pic:pic>
              </a:graphicData>
            </a:graphic>
          </wp:inline>
        </w:drawing>
      </w:r>
      <w:r w:rsidRPr="00470693">
        <w:t xml:space="preserve"> </w:t>
      </w:r>
      <w:r w:rsidRPr="00470693">
        <w:rPr>
          <w:rFonts w:asciiTheme="majorBidi" w:hAnsiTheme="majorBidi" w:cstheme="majorBidi"/>
          <w:noProof/>
          <w:sz w:val="28"/>
          <w:szCs w:val="28"/>
          <w:lang w:eastAsia="fr-FR"/>
        </w:rPr>
        <w:drawing>
          <wp:inline distT="0" distB="0" distL="0" distR="0" wp14:anchorId="41AAAD42" wp14:editId="4BC5A20E">
            <wp:extent cx="2979420" cy="2108200"/>
            <wp:effectExtent l="19050" t="19050" r="11430" b="25400"/>
            <wp:docPr id="3" name="Image 3" descr="Cours 1-2 : Étude statistique de la répartition des organismes - Allo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urs 1-2 : Étude statistique de la répartition des organismes - Allo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5752" cy="2140984"/>
                    </a:xfrm>
                    <a:prstGeom prst="rect">
                      <a:avLst/>
                    </a:prstGeom>
                    <a:noFill/>
                    <a:ln>
                      <a:solidFill>
                        <a:sysClr val="windowText" lastClr="000000"/>
                      </a:solidFill>
                    </a:ln>
                  </pic:spPr>
                </pic:pic>
              </a:graphicData>
            </a:graphic>
          </wp:inline>
        </w:drawing>
      </w:r>
    </w:p>
    <w:p w:rsidR="00370CAC" w:rsidRPr="00BB0EAF" w:rsidRDefault="00370CAC" w:rsidP="00370CAC">
      <w:pPr>
        <w:jc w:val="center"/>
        <w:rPr>
          <w:rFonts w:asciiTheme="majorBidi" w:hAnsiTheme="majorBidi" w:cstheme="majorBidi"/>
          <w:sz w:val="28"/>
          <w:szCs w:val="28"/>
        </w:rPr>
      </w:pPr>
      <w:r w:rsidRPr="00BB0EAF">
        <w:rPr>
          <w:rFonts w:asciiTheme="majorBidi" w:hAnsiTheme="majorBidi" w:cstheme="majorBidi"/>
          <w:b/>
          <w:bCs/>
          <w:sz w:val="28"/>
          <w:szCs w:val="28"/>
        </w:rPr>
        <w:t>Figure </w:t>
      </w:r>
      <w:r>
        <w:rPr>
          <w:rFonts w:asciiTheme="majorBidi" w:hAnsiTheme="majorBidi" w:cstheme="majorBidi"/>
          <w:b/>
          <w:bCs/>
          <w:sz w:val="28"/>
          <w:szCs w:val="28"/>
        </w:rPr>
        <w:t xml:space="preserve">12 </w:t>
      </w:r>
      <w:r w:rsidRPr="00BB0EAF">
        <w:rPr>
          <w:rFonts w:asciiTheme="majorBidi" w:hAnsiTheme="majorBidi" w:cstheme="majorBidi"/>
          <w:b/>
          <w:bCs/>
          <w:sz w:val="28"/>
          <w:szCs w:val="28"/>
        </w:rPr>
        <w:t>:</w:t>
      </w:r>
      <w:r w:rsidRPr="00BB0EAF">
        <w:rPr>
          <w:rFonts w:asciiTheme="majorBidi" w:hAnsiTheme="majorBidi" w:cstheme="majorBidi"/>
          <w:sz w:val="28"/>
          <w:szCs w:val="28"/>
        </w:rPr>
        <w:t xml:space="preserve"> aire minimale</w:t>
      </w:r>
    </w:p>
    <w:p w:rsidR="00370CAC" w:rsidRPr="005A6B5B" w:rsidRDefault="00370CAC" w:rsidP="00370CAC">
      <w:pPr>
        <w:jc w:val="both"/>
        <w:rPr>
          <w:rFonts w:asciiTheme="majorBidi" w:hAnsiTheme="majorBidi" w:cstheme="majorBidi"/>
          <w:sz w:val="28"/>
          <w:szCs w:val="28"/>
        </w:rPr>
      </w:pPr>
      <w:r w:rsidRPr="005A6B5B">
        <w:rPr>
          <w:rFonts w:asciiTheme="majorBidi" w:hAnsiTheme="majorBidi" w:cstheme="majorBidi"/>
          <w:sz w:val="28"/>
          <w:szCs w:val="28"/>
        </w:rPr>
        <w:t>Pour une végétation donnée, la dimension des individus d’association est évidemment très </w:t>
      </w:r>
      <w:r w:rsidRPr="005A6B5B">
        <w:rPr>
          <w:rFonts w:asciiTheme="majorBidi" w:hAnsiTheme="majorBidi" w:cstheme="majorBidi"/>
          <w:b/>
          <w:bCs/>
          <w:sz w:val="28"/>
          <w:szCs w:val="28"/>
        </w:rPr>
        <w:t>variable</w:t>
      </w:r>
      <w:r w:rsidRPr="005A6B5B">
        <w:rPr>
          <w:rFonts w:asciiTheme="majorBidi" w:hAnsiTheme="majorBidi" w:cstheme="majorBidi"/>
          <w:sz w:val="28"/>
          <w:szCs w:val="28"/>
        </w:rPr>
        <w:t> en fonction des conditions écologiques</w:t>
      </w:r>
      <w:r>
        <w:rPr>
          <w:rFonts w:asciiTheme="majorBidi" w:hAnsiTheme="majorBidi" w:cstheme="majorBidi"/>
          <w:sz w:val="28"/>
          <w:szCs w:val="28"/>
        </w:rPr>
        <w:t xml:space="preserve"> </w:t>
      </w:r>
      <w:r w:rsidRPr="005A6B5B">
        <w:rPr>
          <w:rFonts w:asciiTheme="majorBidi" w:hAnsiTheme="majorBidi" w:cstheme="majorBidi"/>
          <w:sz w:val="28"/>
          <w:szCs w:val="28"/>
        </w:rPr>
        <w:t>; celle de l’</w:t>
      </w:r>
      <w:r w:rsidRPr="005A6B5B">
        <w:rPr>
          <w:rFonts w:asciiTheme="majorBidi" w:hAnsiTheme="majorBidi" w:cstheme="majorBidi"/>
          <w:b/>
          <w:bCs/>
          <w:sz w:val="28"/>
          <w:szCs w:val="28"/>
        </w:rPr>
        <w:t>aire minimale</w:t>
      </w:r>
      <w:r w:rsidRPr="005A6B5B">
        <w:rPr>
          <w:rFonts w:asciiTheme="majorBidi" w:hAnsiTheme="majorBidi" w:cstheme="majorBidi"/>
          <w:sz w:val="28"/>
          <w:szCs w:val="28"/>
        </w:rPr>
        <w:t> est approximativement </w:t>
      </w:r>
      <w:r w:rsidRPr="005A6B5B">
        <w:rPr>
          <w:rFonts w:asciiTheme="majorBidi" w:hAnsiTheme="majorBidi" w:cstheme="majorBidi"/>
          <w:b/>
          <w:bCs/>
          <w:sz w:val="28"/>
          <w:szCs w:val="28"/>
        </w:rPr>
        <w:t>constante</w:t>
      </w:r>
      <w:r w:rsidRPr="005A6B5B">
        <w:rPr>
          <w:rFonts w:asciiTheme="majorBidi" w:hAnsiTheme="majorBidi" w:cstheme="majorBidi"/>
          <w:sz w:val="28"/>
          <w:szCs w:val="28"/>
        </w:rPr>
        <w:t xml:space="preserve">. Par contre, l’aire minimale est extrêmement variable en fonction du type de végétation (de quelques </w:t>
      </w:r>
      <w:r w:rsidRPr="00D21015">
        <w:rPr>
          <w:rFonts w:asciiTheme="majorBidi" w:hAnsiTheme="majorBidi" w:cstheme="majorBidi"/>
          <w:b/>
          <w:bCs/>
          <w:sz w:val="28"/>
          <w:szCs w:val="28"/>
        </w:rPr>
        <w:t>dm</w:t>
      </w:r>
      <w:r w:rsidRPr="00D21015">
        <w:rPr>
          <w:rFonts w:asciiTheme="majorBidi" w:hAnsiTheme="majorBidi" w:cstheme="majorBidi"/>
          <w:b/>
          <w:bCs/>
          <w:sz w:val="28"/>
          <w:szCs w:val="28"/>
          <w:vertAlign w:val="superscript"/>
        </w:rPr>
        <w:t>2</w:t>
      </w:r>
      <w:r w:rsidRPr="00D21015">
        <w:rPr>
          <w:rFonts w:asciiTheme="majorBidi" w:hAnsiTheme="majorBidi" w:cstheme="majorBidi"/>
          <w:b/>
          <w:bCs/>
          <w:sz w:val="28"/>
          <w:szCs w:val="28"/>
        </w:rPr>
        <w:t xml:space="preserve"> </w:t>
      </w:r>
      <w:r w:rsidRPr="005A6B5B">
        <w:rPr>
          <w:rFonts w:asciiTheme="majorBidi" w:hAnsiTheme="majorBidi" w:cstheme="majorBidi"/>
          <w:sz w:val="28"/>
          <w:szCs w:val="28"/>
        </w:rPr>
        <w:t xml:space="preserve">pour les groupements fontinaux, à quelques </w:t>
      </w:r>
      <w:r w:rsidRPr="00D21015">
        <w:rPr>
          <w:rFonts w:asciiTheme="majorBidi" w:hAnsiTheme="majorBidi" w:cstheme="majorBidi"/>
          <w:b/>
          <w:bCs/>
          <w:sz w:val="28"/>
          <w:szCs w:val="28"/>
        </w:rPr>
        <w:t>ares</w:t>
      </w:r>
      <w:r w:rsidRPr="005A6B5B">
        <w:rPr>
          <w:rFonts w:asciiTheme="majorBidi" w:hAnsiTheme="majorBidi" w:cstheme="majorBidi"/>
          <w:sz w:val="28"/>
          <w:szCs w:val="28"/>
        </w:rPr>
        <w:t xml:space="preserve"> pour les groupements forestiers et même à quelques km</w:t>
      </w:r>
      <w:r w:rsidRPr="003E4F3C">
        <w:rPr>
          <w:rFonts w:asciiTheme="majorBidi" w:hAnsiTheme="majorBidi" w:cstheme="majorBidi"/>
          <w:sz w:val="28"/>
          <w:szCs w:val="28"/>
          <w:vertAlign w:val="superscript"/>
        </w:rPr>
        <w:t>2</w:t>
      </w:r>
      <w:r w:rsidRPr="005A6B5B">
        <w:rPr>
          <w:rFonts w:asciiTheme="majorBidi" w:hAnsiTheme="majorBidi" w:cstheme="majorBidi"/>
          <w:sz w:val="28"/>
          <w:szCs w:val="28"/>
        </w:rPr>
        <w:t xml:space="preserve"> pour les formations désertiques, voir Tableau</w:t>
      </w:r>
      <w:r>
        <w:rPr>
          <w:rFonts w:asciiTheme="majorBidi" w:hAnsiTheme="majorBidi" w:cstheme="majorBidi"/>
          <w:sz w:val="28"/>
          <w:szCs w:val="28"/>
        </w:rPr>
        <w:t xml:space="preserve"> 1</w:t>
      </w:r>
      <w:r w:rsidRPr="005A6B5B">
        <w:rPr>
          <w:rFonts w:asciiTheme="majorBidi" w:hAnsiTheme="majorBidi" w:cstheme="majorBidi"/>
          <w:sz w:val="28"/>
          <w:szCs w:val="28"/>
        </w:rPr>
        <w:t>.</w:t>
      </w:r>
    </w:p>
    <w:p w:rsidR="00370CAC" w:rsidRPr="005A6B5B" w:rsidRDefault="00370CAC" w:rsidP="00370CAC">
      <w:pPr>
        <w:jc w:val="center"/>
        <w:rPr>
          <w:rFonts w:asciiTheme="majorBidi" w:hAnsiTheme="majorBidi" w:cstheme="majorBidi"/>
          <w:sz w:val="28"/>
          <w:szCs w:val="28"/>
        </w:rPr>
      </w:pPr>
      <w:r w:rsidRPr="005A6B5B">
        <w:rPr>
          <w:rFonts w:asciiTheme="majorBidi" w:hAnsiTheme="majorBidi" w:cstheme="majorBidi"/>
          <w:noProof/>
          <w:sz w:val="28"/>
          <w:szCs w:val="28"/>
          <w:lang w:eastAsia="fr-FR"/>
        </w:rPr>
        <w:drawing>
          <wp:inline distT="0" distB="0" distL="0" distR="0" wp14:anchorId="77E6CE32" wp14:editId="6C814F92">
            <wp:extent cx="5423533" cy="2149523"/>
            <wp:effectExtent l="0" t="0" r="6350" b="3175"/>
            <wp:docPr id="4" name="Image 4" descr="http://hq3duxgmz.preview.infomaniak.website/wp-content/uploads/2019/08/Capture-d%C3%A9cran-2019-08-09-10.1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q3duxgmz.preview.infomaniak.website/wp-content/uploads/2019/08/Capture-d%C3%A9cran-2019-08-09-10.11.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2295" cy="2160922"/>
                    </a:xfrm>
                    <a:prstGeom prst="rect">
                      <a:avLst/>
                    </a:prstGeom>
                    <a:noFill/>
                    <a:ln>
                      <a:noFill/>
                    </a:ln>
                  </pic:spPr>
                </pic:pic>
              </a:graphicData>
            </a:graphic>
          </wp:inline>
        </w:drawing>
      </w:r>
      <w:r w:rsidRPr="00D21015">
        <w:rPr>
          <w:rFonts w:asciiTheme="majorBidi" w:hAnsiTheme="majorBidi" w:cstheme="majorBidi"/>
          <w:b/>
          <w:bCs/>
          <w:sz w:val="28"/>
          <w:szCs w:val="28"/>
        </w:rPr>
        <w:t xml:space="preserve">Tableau </w:t>
      </w:r>
      <w:r>
        <w:rPr>
          <w:rFonts w:asciiTheme="majorBidi" w:hAnsiTheme="majorBidi" w:cstheme="majorBidi"/>
          <w:b/>
          <w:bCs/>
          <w:sz w:val="28"/>
          <w:szCs w:val="28"/>
        </w:rPr>
        <w:t>1</w:t>
      </w:r>
      <w:r w:rsidRPr="00D21015">
        <w:rPr>
          <w:rFonts w:asciiTheme="majorBidi" w:hAnsiTheme="majorBidi" w:cstheme="majorBidi"/>
          <w:b/>
          <w:bCs/>
          <w:sz w:val="28"/>
          <w:szCs w:val="28"/>
        </w:rPr>
        <w:t xml:space="preserve"> :</w:t>
      </w:r>
      <w:r w:rsidRPr="005A6B5B">
        <w:rPr>
          <w:rFonts w:asciiTheme="majorBidi" w:hAnsiTheme="majorBidi" w:cstheme="majorBidi"/>
          <w:sz w:val="28"/>
          <w:szCs w:val="28"/>
        </w:rPr>
        <w:t xml:space="preserve"> Aires minimales de végétations tempérées</w:t>
      </w:r>
    </w:p>
    <w:p w:rsidR="00370CAC" w:rsidRPr="005A6B5B" w:rsidRDefault="00370CAC" w:rsidP="00370CAC">
      <w:pPr>
        <w:rPr>
          <w:rFonts w:asciiTheme="majorBidi" w:hAnsiTheme="majorBidi" w:cstheme="majorBidi"/>
          <w:sz w:val="28"/>
          <w:szCs w:val="28"/>
        </w:rPr>
      </w:pPr>
      <w:r w:rsidRPr="005A6B5B">
        <w:rPr>
          <w:rFonts w:asciiTheme="majorBidi" w:hAnsiTheme="majorBidi" w:cstheme="majorBidi"/>
          <w:sz w:val="28"/>
          <w:szCs w:val="28"/>
        </w:rPr>
        <w:t> </w:t>
      </w:r>
    </w:p>
    <w:p w:rsidR="00370CAC" w:rsidRPr="005A6B5B" w:rsidRDefault="00370CAC" w:rsidP="00370CAC">
      <w:pPr>
        <w:rPr>
          <w:rFonts w:asciiTheme="majorBidi" w:hAnsiTheme="majorBidi" w:cstheme="majorBidi"/>
          <w:b/>
          <w:bCs/>
          <w:sz w:val="28"/>
          <w:szCs w:val="28"/>
        </w:rPr>
      </w:pPr>
      <w:r>
        <w:rPr>
          <w:rFonts w:asciiTheme="majorBidi" w:hAnsiTheme="majorBidi" w:cstheme="majorBidi"/>
          <w:b/>
          <w:bCs/>
          <w:sz w:val="28"/>
          <w:szCs w:val="28"/>
        </w:rPr>
        <w:t>b</w:t>
      </w:r>
      <w:r w:rsidRPr="005A6B5B">
        <w:rPr>
          <w:rFonts w:asciiTheme="majorBidi" w:hAnsiTheme="majorBidi" w:cstheme="majorBidi"/>
          <w:b/>
          <w:bCs/>
          <w:sz w:val="28"/>
          <w:szCs w:val="28"/>
        </w:rPr>
        <w:t xml:space="preserve">. Relevé phytosociologique </w:t>
      </w:r>
    </w:p>
    <w:p w:rsidR="00370CAC" w:rsidRDefault="00370CAC" w:rsidP="00370CAC">
      <w:pPr>
        <w:jc w:val="both"/>
        <w:rPr>
          <w:rFonts w:asciiTheme="majorBidi" w:hAnsiTheme="majorBidi" w:cstheme="majorBidi"/>
          <w:sz w:val="28"/>
          <w:szCs w:val="28"/>
        </w:rPr>
      </w:pPr>
      <w:r w:rsidRPr="005A6B5B">
        <w:rPr>
          <w:rFonts w:asciiTheme="majorBidi" w:hAnsiTheme="majorBidi" w:cstheme="majorBidi"/>
          <w:sz w:val="28"/>
          <w:szCs w:val="28"/>
        </w:rPr>
        <w:t>Souvent avant même de commencer la partie floristique du travail, le plus grand nombre possible de renseignements se rapportant à la </w:t>
      </w:r>
      <w:r w:rsidRPr="005A6B5B">
        <w:rPr>
          <w:rFonts w:asciiTheme="majorBidi" w:hAnsiTheme="majorBidi" w:cstheme="majorBidi"/>
          <w:b/>
          <w:bCs/>
          <w:sz w:val="28"/>
          <w:szCs w:val="28"/>
        </w:rPr>
        <w:t>station</w:t>
      </w:r>
      <w:r w:rsidRPr="005A6B5B">
        <w:rPr>
          <w:rFonts w:asciiTheme="majorBidi" w:hAnsiTheme="majorBidi" w:cstheme="majorBidi"/>
          <w:sz w:val="28"/>
          <w:szCs w:val="28"/>
        </w:rPr>
        <w:t xml:space="preserve"> occupée par la végétation sont collectés : situation topographique, altitude, pente, exposition de celle-ci. De même, la date du relevé (importante pour la visibilité ou la détermination des espèces) et la localisation la plus précise possible de l’endroit (commune, lieu-dit et repérage GPS ou sur une carte topographique) sont indiquées. Le profil du sol, principalement en indiquant le pH des différents horizons, peut être décrit (au moins le pH en surface). </w:t>
      </w:r>
    </w:p>
    <w:p w:rsidR="00370CAC" w:rsidRDefault="00370CAC" w:rsidP="00370CAC">
      <w:pPr>
        <w:jc w:val="both"/>
        <w:rPr>
          <w:rFonts w:asciiTheme="majorBidi" w:hAnsiTheme="majorBidi" w:cstheme="majorBidi"/>
          <w:sz w:val="28"/>
          <w:szCs w:val="28"/>
        </w:rPr>
      </w:pPr>
      <w:r w:rsidRPr="005A6B5B">
        <w:rPr>
          <w:rFonts w:asciiTheme="majorBidi" w:hAnsiTheme="majorBidi" w:cstheme="majorBidi"/>
          <w:sz w:val="28"/>
          <w:szCs w:val="28"/>
        </w:rPr>
        <w:t xml:space="preserve">Les traitements anthropiques et l’histoire du site sont souvent primordiaux à connaître, que ce soit en forêt ou pour des zones déjà restaurées ou gérées en milieux ouverts. </w:t>
      </w:r>
    </w:p>
    <w:p w:rsidR="00370CAC" w:rsidRPr="005A6B5B" w:rsidRDefault="00370CAC" w:rsidP="00370CAC">
      <w:pPr>
        <w:jc w:val="both"/>
        <w:rPr>
          <w:rFonts w:asciiTheme="majorBidi" w:hAnsiTheme="majorBidi" w:cstheme="majorBidi"/>
          <w:sz w:val="28"/>
          <w:szCs w:val="28"/>
        </w:rPr>
      </w:pPr>
      <w:r w:rsidRPr="005A6B5B">
        <w:rPr>
          <w:rFonts w:asciiTheme="majorBidi" w:hAnsiTheme="majorBidi" w:cstheme="majorBidi"/>
          <w:sz w:val="28"/>
          <w:szCs w:val="28"/>
        </w:rPr>
        <w:t>Après ces préliminaires, on passe à l’inventaire floristique de la parcelle en recensant toutes les espèces présentes.</w:t>
      </w:r>
    </w:p>
    <w:p w:rsidR="00370CAC" w:rsidRDefault="00370CAC" w:rsidP="00370CAC">
      <w:pPr>
        <w:jc w:val="both"/>
        <w:rPr>
          <w:rFonts w:asciiTheme="majorBidi" w:hAnsiTheme="majorBidi" w:cstheme="majorBidi"/>
          <w:sz w:val="28"/>
          <w:szCs w:val="28"/>
        </w:rPr>
      </w:pPr>
      <w:r w:rsidRPr="005A6B5B">
        <w:rPr>
          <w:rFonts w:asciiTheme="majorBidi" w:hAnsiTheme="majorBidi" w:cstheme="majorBidi"/>
          <w:sz w:val="28"/>
          <w:szCs w:val="28"/>
        </w:rPr>
        <w:t>L’analyse se fait de façon ordonnée, strate par strate, en commençant par celle qui est la plus éloignée du sol. Certaines des plantes observées ne peuvent éventuellement pas être déterminées immédiatement, elles reçoivent un nom provisoire et sont mises en herbier. Les Cryptogames (Bryophytes, Lichens, Fougères) autant que possible, ne sont pas négligés, car ils ont souvent des niches écologiques très restreintes et donc fournissent des renseignements précis sur les conditions abiotiques.</w:t>
      </w:r>
    </w:p>
    <w:p w:rsidR="00370CAC" w:rsidRDefault="00370CAC" w:rsidP="00370CAC">
      <w:pPr>
        <w:rPr>
          <w:rFonts w:asciiTheme="majorBidi" w:hAnsiTheme="majorBidi" w:cstheme="majorBidi"/>
          <w:b/>
          <w:bCs/>
          <w:sz w:val="28"/>
          <w:szCs w:val="28"/>
        </w:rPr>
      </w:pPr>
      <w:r>
        <w:rPr>
          <w:rFonts w:asciiTheme="majorBidi" w:hAnsiTheme="majorBidi" w:cstheme="majorBidi"/>
          <w:b/>
          <w:bCs/>
          <w:sz w:val="28"/>
          <w:szCs w:val="28"/>
        </w:rPr>
        <w:t>*</w:t>
      </w:r>
      <w:r w:rsidRPr="000663CE">
        <w:rPr>
          <w:rFonts w:asciiTheme="majorBidi" w:hAnsiTheme="majorBidi" w:cstheme="majorBidi"/>
          <w:b/>
          <w:bCs/>
          <w:sz w:val="28"/>
          <w:szCs w:val="28"/>
        </w:rPr>
        <w:t>Les coefficients</w:t>
      </w:r>
    </w:p>
    <w:p w:rsidR="00370CAC" w:rsidRPr="000663CE" w:rsidRDefault="00370CAC" w:rsidP="00370CAC">
      <w:pPr>
        <w:jc w:val="both"/>
        <w:rPr>
          <w:rFonts w:asciiTheme="majorBidi" w:hAnsiTheme="majorBidi" w:cstheme="majorBidi"/>
          <w:b/>
          <w:bCs/>
          <w:sz w:val="28"/>
          <w:szCs w:val="28"/>
        </w:rPr>
      </w:pPr>
      <w:r w:rsidRPr="000663CE">
        <w:rPr>
          <w:rFonts w:asciiTheme="majorBidi" w:hAnsiTheme="majorBidi" w:cstheme="majorBidi"/>
          <w:sz w:val="28"/>
          <w:szCs w:val="28"/>
        </w:rPr>
        <w:t>Chaque espèce</w:t>
      </w:r>
      <w:r>
        <w:rPr>
          <w:rFonts w:asciiTheme="majorBidi" w:hAnsiTheme="majorBidi" w:cstheme="majorBidi"/>
          <w:sz w:val="28"/>
          <w:szCs w:val="28"/>
        </w:rPr>
        <w:t xml:space="preserve"> dans le relevé est généralement accompagnée de deux coefficients : </w:t>
      </w:r>
      <w:r w:rsidRPr="005A6B5B">
        <w:rPr>
          <w:rFonts w:asciiTheme="majorBidi" w:hAnsiTheme="majorBidi" w:cstheme="majorBidi"/>
          <w:b/>
          <w:bCs/>
          <w:sz w:val="28"/>
          <w:szCs w:val="28"/>
        </w:rPr>
        <w:t>d’abondance-dominance</w:t>
      </w:r>
      <w:r>
        <w:rPr>
          <w:rFonts w:asciiTheme="majorBidi" w:hAnsiTheme="majorBidi" w:cstheme="majorBidi"/>
          <w:sz w:val="28"/>
          <w:szCs w:val="28"/>
        </w:rPr>
        <w:t xml:space="preserve"> </w:t>
      </w:r>
      <w:r>
        <w:rPr>
          <w:rFonts w:asciiTheme="majorBidi" w:hAnsiTheme="majorBidi" w:cstheme="majorBidi"/>
          <w:b/>
          <w:bCs/>
          <w:sz w:val="28"/>
          <w:szCs w:val="28"/>
        </w:rPr>
        <w:t xml:space="preserve">et </w:t>
      </w:r>
      <w:r w:rsidRPr="000663CE">
        <w:rPr>
          <w:rFonts w:asciiTheme="majorBidi" w:hAnsiTheme="majorBidi" w:cstheme="majorBidi"/>
          <w:b/>
          <w:bCs/>
          <w:sz w:val="28"/>
          <w:szCs w:val="28"/>
        </w:rPr>
        <w:t>la sociab</w:t>
      </w:r>
      <w:r>
        <w:rPr>
          <w:rFonts w:asciiTheme="majorBidi" w:hAnsiTheme="majorBidi" w:cstheme="majorBidi"/>
          <w:b/>
          <w:bCs/>
          <w:sz w:val="28"/>
          <w:szCs w:val="28"/>
        </w:rPr>
        <w:t>i</w:t>
      </w:r>
      <w:r w:rsidRPr="000663CE">
        <w:rPr>
          <w:rFonts w:asciiTheme="majorBidi" w:hAnsiTheme="majorBidi" w:cstheme="majorBidi"/>
          <w:b/>
          <w:bCs/>
          <w:sz w:val="28"/>
          <w:szCs w:val="28"/>
        </w:rPr>
        <w:t>lité</w:t>
      </w:r>
      <w:r>
        <w:rPr>
          <w:rFonts w:asciiTheme="majorBidi" w:hAnsiTheme="majorBidi" w:cstheme="majorBidi"/>
          <w:b/>
          <w:bCs/>
          <w:sz w:val="28"/>
          <w:szCs w:val="28"/>
        </w:rPr>
        <w:t>.</w:t>
      </w:r>
      <w:r w:rsidRPr="000663CE">
        <w:rPr>
          <w:rFonts w:asciiTheme="majorBidi" w:hAnsiTheme="majorBidi" w:cstheme="majorBidi"/>
          <w:b/>
          <w:bCs/>
          <w:sz w:val="28"/>
          <w:szCs w:val="28"/>
        </w:rPr>
        <w:t xml:space="preserve"> </w:t>
      </w:r>
    </w:p>
    <w:p w:rsidR="00370CAC" w:rsidRPr="005A6B5B" w:rsidRDefault="00370CAC" w:rsidP="00370CAC">
      <w:pPr>
        <w:jc w:val="both"/>
        <w:rPr>
          <w:rFonts w:asciiTheme="majorBidi" w:hAnsiTheme="majorBidi" w:cstheme="majorBidi"/>
          <w:sz w:val="28"/>
          <w:szCs w:val="28"/>
        </w:rPr>
      </w:pPr>
      <w:r w:rsidRPr="005A6B5B">
        <w:rPr>
          <w:rFonts w:asciiTheme="majorBidi" w:hAnsiTheme="majorBidi" w:cstheme="majorBidi"/>
          <w:sz w:val="28"/>
          <w:szCs w:val="28"/>
        </w:rPr>
        <w:t>Le nom de chacune des espèces est affecté d’un coefficient qui indique, avec suffisamment de précision, son abondance relative et son degré de recouvrement. L’échelle habituellement utilisée pour chiffrer ce </w:t>
      </w:r>
      <w:r w:rsidRPr="005A6B5B">
        <w:rPr>
          <w:rFonts w:asciiTheme="majorBidi" w:hAnsiTheme="majorBidi" w:cstheme="majorBidi"/>
          <w:b/>
          <w:bCs/>
          <w:sz w:val="28"/>
          <w:szCs w:val="28"/>
        </w:rPr>
        <w:t>coefficient d’abondance-dominance</w:t>
      </w:r>
      <w:r w:rsidRPr="005A6B5B">
        <w:rPr>
          <w:rFonts w:asciiTheme="majorBidi" w:hAnsiTheme="majorBidi" w:cstheme="majorBidi"/>
          <w:sz w:val="28"/>
          <w:szCs w:val="28"/>
        </w:rPr>
        <w:t> est la suivante</w:t>
      </w:r>
      <w:r>
        <w:rPr>
          <w:rFonts w:asciiTheme="majorBidi" w:hAnsiTheme="majorBidi" w:cstheme="majorBidi"/>
          <w:sz w:val="28"/>
          <w:szCs w:val="28"/>
        </w:rPr>
        <w:t>.</w:t>
      </w:r>
      <w:r w:rsidRPr="005A6B5B">
        <w:rPr>
          <w:rFonts w:asciiTheme="majorBidi" w:hAnsiTheme="majorBidi" w:cstheme="majorBidi"/>
          <w:sz w:val="28"/>
          <w:szCs w:val="28"/>
        </w:rPr>
        <w:t xml:space="preserve"> </w:t>
      </w:r>
    </w:p>
    <w:p w:rsidR="00370CAC" w:rsidRDefault="00370CAC" w:rsidP="00370CAC">
      <w:pPr>
        <w:jc w:val="both"/>
        <w:rPr>
          <w:rFonts w:asciiTheme="majorBidi" w:hAnsiTheme="majorBidi" w:cstheme="majorBidi"/>
          <w:b/>
          <w:bCs/>
          <w:sz w:val="28"/>
          <w:szCs w:val="28"/>
        </w:rPr>
      </w:pPr>
      <w:r>
        <w:rPr>
          <w:noProof/>
          <w:lang w:eastAsia="fr-FR"/>
        </w:rPr>
        <w:drawing>
          <wp:inline distT="0" distB="0" distL="0" distR="0" wp14:anchorId="37D6742C" wp14:editId="3933979F">
            <wp:extent cx="5760720" cy="18484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848485"/>
                    </a:xfrm>
                    <a:prstGeom prst="rect">
                      <a:avLst/>
                    </a:prstGeom>
                  </pic:spPr>
                </pic:pic>
              </a:graphicData>
            </a:graphic>
          </wp:inline>
        </w:drawing>
      </w:r>
    </w:p>
    <w:p w:rsidR="00370CAC" w:rsidRPr="000663CE" w:rsidRDefault="00370CAC" w:rsidP="00370CAC">
      <w:pPr>
        <w:jc w:val="center"/>
        <w:rPr>
          <w:rFonts w:asciiTheme="majorBidi" w:hAnsiTheme="majorBidi" w:cstheme="majorBidi"/>
          <w:sz w:val="28"/>
          <w:szCs w:val="28"/>
        </w:rPr>
      </w:pPr>
      <w:r w:rsidRPr="00F475B7">
        <w:rPr>
          <w:rFonts w:asciiTheme="majorBidi" w:hAnsiTheme="majorBidi" w:cstheme="majorBidi"/>
          <w:b/>
          <w:bCs/>
          <w:sz w:val="28"/>
          <w:szCs w:val="28"/>
        </w:rPr>
        <w:t>Figure</w:t>
      </w:r>
      <w:r>
        <w:rPr>
          <w:rFonts w:asciiTheme="majorBidi" w:hAnsiTheme="majorBidi" w:cstheme="majorBidi"/>
          <w:b/>
          <w:bCs/>
          <w:sz w:val="28"/>
          <w:szCs w:val="28"/>
        </w:rPr>
        <w:t xml:space="preserve"> 13</w:t>
      </w:r>
      <w:r w:rsidRPr="00F475B7">
        <w:rPr>
          <w:rFonts w:asciiTheme="majorBidi" w:hAnsiTheme="majorBidi" w:cstheme="majorBidi"/>
          <w:b/>
          <w:bCs/>
          <w:sz w:val="28"/>
          <w:szCs w:val="28"/>
        </w:rPr>
        <w:t xml:space="preserve">: </w:t>
      </w:r>
      <w:r w:rsidRPr="005A6B5B">
        <w:rPr>
          <w:rFonts w:asciiTheme="majorBidi" w:hAnsiTheme="majorBidi" w:cstheme="majorBidi"/>
          <w:sz w:val="28"/>
          <w:szCs w:val="28"/>
        </w:rPr>
        <w:t>Coefficients d’abondance-dominance de Braun-Blanquet</w:t>
      </w:r>
      <w:r w:rsidRPr="000663CE">
        <w:t xml:space="preserve"> </w:t>
      </w:r>
      <w:r w:rsidRPr="000663CE">
        <w:rPr>
          <w:rFonts w:asciiTheme="majorBidi" w:hAnsiTheme="majorBidi" w:cstheme="majorBidi"/>
          <w:sz w:val="28"/>
          <w:szCs w:val="28"/>
        </w:rPr>
        <w:t>t (19</w:t>
      </w:r>
      <w:r>
        <w:rPr>
          <w:rFonts w:asciiTheme="majorBidi" w:hAnsiTheme="majorBidi" w:cstheme="majorBidi"/>
          <w:sz w:val="28"/>
          <w:szCs w:val="28"/>
        </w:rPr>
        <w:t>50</w:t>
      </w:r>
      <w:r w:rsidRPr="000663CE">
        <w:rPr>
          <w:rFonts w:asciiTheme="majorBidi" w:hAnsiTheme="majorBidi" w:cstheme="majorBidi"/>
          <w:sz w:val="28"/>
          <w:szCs w:val="28"/>
        </w:rPr>
        <w:t>) d’après Bouzillé, 2007</w:t>
      </w:r>
    </w:p>
    <w:p w:rsidR="00370CAC" w:rsidRPr="005A6B5B" w:rsidRDefault="00370CAC" w:rsidP="00370CAC">
      <w:pPr>
        <w:jc w:val="both"/>
        <w:rPr>
          <w:rFonts w:asciiTheme="majorBidi" w:hAnsiTheme="majorBidi" w:cstheme="majorBidi"/>
          <w:sz w:val="28"/>
          <w:szCs w:val="28"/>
        </w:rPr>
      </w:pPr>
      <w:r w:rsidRPr="005A6B5B">
        <w:rPr>
          <w:rFonts w:asciiTheme="majorBidi" w:hAnsiTheme="majorBidi" w:cstheme="majorBidi"/>
          <w:sz w:val="28"/>
          <w:szCs w:val="28"/>
        </w:rPr>
        <w:t> </w:t>
      </w:r>
    </w:p>
    <w:p w:rsidR="00370CAC" w:rsidRPr="005A6B5B" w:rsidRDefault="00370CAC" w:rsidP="00370CAC">
      <w:pPr>
        <w:jc w:val="both"/>
        <w:rPr>
          <w:rFonts w:asciiTheme="majorBidi" w:hAnsiTheme="majorBidi" w:cstheme="majorBidi"/>
          <w:sz w:val="28"/>
          <w:szCs w:val="28"/>
        </w:rPr>
      </w:pPr>
      <w:r w:rsidRPr="005A6B5B">
        <w:rPr>
          <w:rFonts w:asciiTheme="majorBidi" w:hAnsiTheme="majorBidi" w:cstheme="majorBidi"/>
          <w:sz w:val="28"/>
          <w:szCs w:val="28"/>
        </w:rPr>
        <w:t>Les individus d’une même espèce peuvent se présenter par pieds isolés ou, au contraire, en colonies plus ou moins denses. Ce caractère, de </w:t>
      </w:r>
      <w:r w:rsidRPr="005A6B5B">
        <w:rPr>
          <w:rFonts w:asciiTheme="majorBidi" w:hAnsiTheme="majorBidi" w:cstheme="majorBidi"/>
          <w:b/>
          <w:bCs/>
          <w:sz w:val="28"/>
          <w:szCs w:val="28"/>
        </w:rPr>
        <w:t>sociabilité</w:t>
      </w:r>
      <w:r w:rsidRPr="005A6B5B">
        <w:rPr>
          <w:rFonts w:asciiTheme="majorBidi" w:hAnsiTheme="majorBidi" w:cstheme="majorBidi"/>
          <w:sz w:val="28"/>
          <w:szCs w:val="28"/>
        </w:rPr>
        <w:t>, est évalué à l’aide de l’échelle suivante:</w:t>
      </w:r>
    </w:p>
    <w:p w:rsidR="00370CAC" w:rsidRPr="005A6B5B" w:rsidRDefault="00370CAC" w:rsidP="00370CAC">
      <w:pPr>
        <w:numPr>
          <w:ilvl w:val="0"/>
          <w:numId w:val="3"/>
        </w:numPr>
        <w:rPr>
          <w:rFonts w:asciiTheme="majorBidi" w:hAnsiTheme="majorBidi" w:cstheme="majorBidi"/>
          <w:sz w:val="28"/>
          <w:szCs w:val="28"/>
        </w:rPr>
      </w:pPr>
      <w:r w:rsidRPr="005A6B5B">
        <w:rPr>
          <w:rFonts w:asciiTheme="majorBidi" w:hAnsiTheme="majorBidi" w:cstheme="majorBidi"/>
          <w:sz w:val="28"/>
          <w:szCs w:val="28"/>
        </w:rPr>
        <w:t>5 : espèce en peuplement presque pur</w:t>
      </w:r>
    </w:p>
    <w:p w:rsidR="00370CAC" w:rsidRPr="005A6B5B" w:rsidRDefault="00370CAC" w:rsidP="00370CAC">
      <w:pPr>
        <w:numPr>
          <w:ilvl w:val="0"/>
          <w:numId w:val="3"/>
        </w:numPr>
        <w:rPr>
          <w:rFonts w:asciiTheme="majorBidi" w:hAnsiTheme="majorBidi" w:cstheme="majorBidi"/>
          <w:sz w:val="28"/>
          <w:szCs w:val="28"/>
        </w:rPr>
      </w:pPr>
      <w:r w:rsidRPr="005A6B5B">
        <w:rPr>
          <w:rFonts w:asciiTheme="majorBidi" w:hAnsiTheme="majorBidi" w:cstheme="majorBidi"/>
          <w:sz w:val="28"/>
          <w:szCs w:val="28"/>
        </w:rPr>
        <w:t>4 : espèce en colonies ou troupes importantes</w:t>
      </w:r>
    </w:p>
    <w:p w:rsidR="00370CAC" w:rsidRPr="005A6B5B" w:rsidRDefault="00370CAC" w:rsidP="00370CAC">
      <w:pPr>
        <w:numPr>
          <w:ilvl w:val="0"/>
          <w:numId w:val="3"/>
        </w:numPr>
        <w:rPr>
          <w:rFonts w:asciiTheme="majorBidi" w:hAnsiTheme="majorBidi" w:cstheme="majorBidi"/>
          <w:sz w:val="28"/>
          <w:szCs w:val="28"/>
        </w:rPr>
      </w:pPr>
      <w:r w:rsidRPr="005A6B5B">
        <w:rPr>
          <w:rFonts w:asciiTheme="majorBidi" w:hAnsiTheme="majorBidi" w:cstheme="majorBidi"/>
          <w:sz w:val="28"/>
          <w:szCs w:val="28"/>
        </w:rPr>
        <w:t>3 : espèce en taches ou en coussinets</w:t>
      </w:r>
    </w:p>
    <w:p w:rsidR="00370CAC" w:rsidRPr="005A6B5B" w:rsidRDefault="00370CAC" w:rsidP="00370CAC">
      <w:pPr>
        <w:numPr>
          <w:ilvl w:val="0"/>
          <w:numId w:val="3"/>
        </w:numPr>
        <w:rPr>
          <w:rFonts w:asciiTheme="majorBidi" w:hAnsiTheme="majorBidi" w:cstheme="majorBidi"/>
          <w:sz w:val="28"/>
          <w:szCs w:val="28"/>
        </w:rPr>
      </w:pPr>
      <w:r w:rsidRPr="005A6B5B">
        <w:rPr>
          <w:rFonts w:asciiTheme="majorBidi" w:hAnsiTheme="majorBidi" w:cstheme="majorBidi"/>
          <w:sz w:val="28"/>
          <w:szCs w:val="28"/>
        </w:rPr>
        <w:t>2 : espèce en touffes</w:t>
      </w:r>
    </w:p>
    <w:p w:rsidR="00370CAC" w:rsidRDefault="00370CAC" w:rsidP="00370CAC">
      <w:pPr>
        <w:numPr>
          <w:ilvl w:val="0"/>
          <w:numId w:val="3"/>
        </w:numPr>
        <w:rPr>
          <w:rFonts w:asciiTheme="majorBidi" w:hAnsiTheme="majorBidi" w:cstheme="majorBidi"/>
          <w:sz w:val="28"/>
          <w:szCs w:val="28"/>
        </w:rPr>
      </w:pPr>
      <w:r w:rsidRPr="005A6B5B">
        <w:rPr>
          <w:rFonts w:asciiTheme="majorBidi" w:hAnsiTheme="majorBidi" w:cstheme="majorBidi"/>
          <w:sz w:val="28"/>
          <w:szCs w:val="28"/>
        </w:rPr>
        <w:t>1 : individus isolés</w:t>
      </w:r>
    </w:p>
    <w:p w:rsidR="00370CAC" w:rsidRDefault="00370CAC" w:rsidP="00370CAC">
      <w:pPr>
        <w:jc w:val="center"/>
        <w:rPr>
          <w:rFonts w:asciiTheme="majorBidi" w:hAnsiTheme="majorBidi" w:cstheme="majorBidi"/>
          <w:sz w:val="28"/>
          <w:szCs w:val="28"/>
        </w:rPr>
      </w:pPr>
      <w:r>
        <w:rPr>
          <w:noProof/>
          <w:lang w:eastAsia="fr-FR"/>
        </w:rPr>
        <w:drawing>
          <wp:inline distT="0" distB="0" distL="0" distR="0" wp14:anchorId="0B4C8E39" wp14:editId="12F8E3EC">
            <wp:extent cx="4401185" cy="1795141"/>
            <wp:effectExtent l="0" t="0" r="0" b="0"/>
            <wp:docPr id="6" name="Image 2" descr="Mémoire de fin d étude - PDF Téléchargement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émoire de fin d étude - PDF Téléchargement Gratu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3211" cy="1808204"/>
                    </a:xfrm>
                    <a:prstGeom prst="rect">
                      <a:avLst/>
                    </a:prstGeom>
                    <a:noFill/>
                    <a:ln>
                      <a:noFill/>
                    </a:ln>
                  </pic:spPr>
                </pic:pic>
              </a:graphicData>
            </a:graphic>
          </wp:inline>
        </w:drawing>
      </w:r>
    </w:p>
    <w:p w:rsidR="00370CAC" w:rsidRPr="00F475B7" w:rsidRDefault="00370CAC" w:rsidP="00370CAC">
      <w:pPr>
        <w:jc w:val="center"/>
        <w:rPr>
          <w:rFonts w:asciiTheme="majorBidi" w:hAnsiTheme="majorBidi" w:cstheme="majorBidi"/>
          <w:sz w:val="28"/>
          <w:szCs w:val="28"/>
        </w:rPr>
      </w:pPr>
      <w:r w:rsidRPr="00F475B7">
        <w:rPr>
          <w:rFonts w:asciiTheme="majorBidi" w:hAnsiTheme="majorBidi" w:cstheme="majorBidi"/>
          <w:b/>
          <w:bCs/>
          <w:sz w:val="28"/>
          <w:szCs w:val="28"/>
        </w:rPr>
        <w:t xml:space="preserve">Figure </w:t>
      </w:r>
      <w:r>
        <w:rPr>
          <w:rFonts w:asciiTheme="majorBidi" w:hAnsiTheme="majorBidi" w:cstheme="majorBidi"/>
          <w:b/>
          <w:bCs/>
          <w:sz w:val="28"/>
          <w:szCs w:val="28"/>
        </w:rPr>
        <w:t>14</w:t>
      </w:r>
      <w:r w:rsidRPr="00F475B7">
        <w:rPr>
          <w:rFonts w:asciiTheme="majorBidi" w:hAnsiTheme="majorBidi" w:cstheme="majorBidi"/>
          <w:b/>
          <w:bCs/>
          <w:sz w:val="28"/>
          <w:szCs w:val="28"/>
        </w:rPr>
        <w:t xml:space="preserve"> :</w:t>
      </w:r>
      <w:r w:rsidRPr="00F475B7">
        <w:rPr>
          <w:rFonts w:asciiTheme="majorBidi" w:hAnsiTheme="majorBidi" w:cstheme="majorBidi"/>
          <w:sz w:val="28"/>
          <w:szCs w:val="28"/>
        </w:rPr>
        <w:t xml:space="preserve"> Échelle  de sociabilité  de Braun-Blanquet</w:t>
      </w:r>
    </w:p>
    <w:p w:rsidR="00370CAC" w:rsidRDefault="00370CAC" w:rsidP="00370CAC">
      <w:pPr>
        <w:rPr>
          <w:rFonts w:asciiTheme="majorBidi" w:hAnsiTheme="majorBidi" w:cstheme="majorBidi"/>
          <w:b/>
          <w:bCs/>
          <w:sz w:val="28"/>
          <w:szCs w:val="28"/>
        </w:rPr>
      </w:pPr>
      <w:r>
        <w:rPr>
          <w:rFonts w:asciiTheme="majorBidi" w:hAnsiTheme="majorBidi" w:cstheme="majorBidi"/>
          <w:b/>
          <w:bCs/>
          <w:sz w:val="28"/>
          <w:szCs w:val="28"/>
        </w:rPr>
        <w:t>c</w:t>
      </w:r>
      <w:r w:rsidRPr="005A6B5B">
        <w:rPr>
          <w:rFonts w:asciiTheme="majorBidi" w:hAnsiTheme="majorBidi" w:cstheme="majorBidi"/>
          <w:b/>
          <w:bCs/>
          <w:sz w:val="28"/>
          <w:szCs w:val="28"/>
        </w:rPr>
        <w:t>. La synthèse</w:t>
      </w:r>
    </w:p>
    <w:p w:rsidR="00370CAC" w:rsidRPr="0036339C" w:rsidRDefault="00370CAC" w:rsidP="00370CAC">
      <w:pPr>
        <w:rPr>
          <w:rFonts w:asciiTheme="majorBidi" w:hAnsiTheme="majorBidi" w:cstheme="majorBidi"/>
          <w:sz w:val="28"/>
          <w:szCs w:val="28"/>
        </w:rPr>
      </w:pPr>
      <w:r w:rsidRPr="0036339C">
        <w:rPr>
          <w:rFonts w:asciiTheme="majorBidi" w:hAnsiTheme="majorBidi" w:cstheme="majorBidi"/>
          <w:sz w:val="28"/>
          <w:szCs w:val="28"/>
        </w:rPr>
        <w:t xml:space="preserve">    La méthode des tableaux </w:t>
      </w:r>
      <w:r w:rsidRPr="002C2593">
        <w:rPr>
          <w:rFonts w:asciiTheme="majorBidi" w:hAnsiTheme="majorBidi" w:cstheme="majorBidi"/>
          <w:sz w:val="28"/>
          <w:szCs w:val="28"/>
        </w:rPr>
        <w:t xml:space="preserve">(Ellenberg, 1956) </w:t>
      </w:r>
      <w:r w:rsidRPr="0036339C">
        <w:rPr>
          <w:rFonts w:asciiTheme="majorBidi" w:hAnsiTheme="majorBidi" w:cstheme="majorBidi"/>
          <w:sz w:val="28"/>
          <w:szCs w:val="28"/>
        </w:rPr>
        <w:t xml:space="preserve">a pour but de modifier l'ordre des relevés et des espèces </w:t>
      </w:r>
      <w:r>
        <w:rPr>
          <w:rFonts w:asciiTheme="majorBidi" w:hAnsiTheme="majorBidi" w:cstheme="majorBidi"/>
          <w:sz w:val="28"/>
          <w:szCs w:val="28"/>
        </w:rPr>
        <w:t>pour</w:t>
      </w:r>
      <w:r w:rsidRPr="0036339C">
        <w:rPr>
          <w:rFonts w:asciiTheme="majorBidi" w:hAnsiTheme="majorBidi" w:cstheme="majorBidi"/>
          <w:sz w:val="28"/>
          <w:szCs w:val="28"/>
        </w:rPr>
        <w:t xml:space="preserve"> les regrouper de la manière la plus logique possible.     </w:t>
      </w:r>
    </w:p>
    <w:p w:rsidR="00370CAC" w:rsidRPr="0036339C" w:rsidRDefault="00370CAC" w:rsidP="00370CAC">
      <w:pPr>
        <w:rPr>
          <w:rFonts w:asciiTheme="majorBidi" w:hAnsiTheme="majorBidi" w:cstheme="majorBidi"/>
          <w:sz w:val="28"/>
          <w:szCs w:val="28"/>
        </w:rPr>
      </w:pPr>
      <w:r w:rsidRPr="0036339C">
        <w:rPr>
          <w:rFonts w:asciiTheme="majorBidi" w:hAnsiTheme="majorBidi" w:cstheme="majorBidi"/>
          <w:sz w:val="28"/>
          <w:szCs w:val="28"/>
        </w:rPr>
        <w:t xml:space="preserve">On peut distinguer cinq phases : </w:t>
      </w:r>
    </w:p>
    <w:p w:rsidR="00370CAC" w:rsidRDefault="00370CAC" w:rsidP="00370CAC">
      <w:pPr>
        <w:rPr>
          <w:rFonts w:asciiTheme="majorBidi" w:hAnsiTheme="majorBidi" w:cstheme="majorBidi"/>
          <w:sz w:val="28"/>
          <w:szCs w:val="28"/>
        </w:rPr>
      </w:pPr>
      <w:r w:rsidRPr="0036339C">
        <w:rPr>
          <w:rFonts w:asciiTheme="majorBidi" w:hAnsiTheme="majorBidi" w:cstheme="majorBidi"/>
          <w:sz w:val="28"/>
          <w:szCs w:val="28"/>
        </w:rPr>
        <w:t xml:space="preserve">    </w:t>
      </w:r>
      <w:r>
        <w:rPr>
          <w:rFonts w:asciiTheme="majorBidi" w:hAnsiTheme="majorBidi" w:cstheme="majorBidi"/>
          <w:b/>
          <w:bCs/>
          <w:sz w:val="28"/>
          <w:szCs w:val="28"/>
        </w:rPr>
        <w:t>֍</w:t>
      </w:r>
      <w:r w:rsidRPr="0036339C">
        <w:rPr>
          <w:rFonts w:asciiTheme="majorBidi" w:hAnsiTheme="majorBidi" w:cstheme="majorBidi"/>
          <w:b/>
          <w:bCs/>
          <w:sz w:val="28"/>
          <w:szCs w:val="28"/>
        </w:rPr>
        <w:t>) Le tableau brut :</w:t>
      </w:r>
      <w:r w:rsidRPr="0036339C">
        <w:rPr>
          <w:rFonts w:asciiTheme="majorBidi" w:hAnsiTheme="majorBidi" w:cstheme="majorBidi"/>
          <w:sz w:val="28"/>
          <w:szCs w:val="28"/>
        </w:rPr>
        <w:t xml:space="preserve"> </w:t>
      </w:r>
    </w:p>
    <w:p w:rsidR="00370CAC" w:rsidRPr="0036339C" w:rsidRDefault="00370CAC" w:rsidP="00370CAC">
      <w:pPr>
        <w:jc w:val="both"/>
        <w:rPr>
          <w:rFonts w:asciiTheme="majorBidi" w:hAnsiTheme="majorBidi" w:cstheme="majorBidi"/>
          <w:sz w:val="28"/>
          <w:szCs w:val="28"/>
        </w:rPr>
      </w:pPr>
      <w:r w:rsidRPr="0036339C">
        <w:rPr>
          <w:rFonts w:asciiTheme="majorBidi" w:hAnsiTheme="majorBidi" w:cstheme="majorBidi"/>
          <w:sz w:val="28"/>
          <w:szCs w:val="28"/>
        </w:rPr>
        <w:t xml:space="preserve">C’est un tableau à double entrée. Les colonnes correspondant aux relevés pris dans un ordre quelconque et les lignes aux espèces inscrites dans l'ordre où elles se présentent dans le premier relevé.  </w:t>
      </w:r>
    </w:p>
    <w:p w:rsidR="00370CAC" w:rsidRDefault="00370CAC" w:rsidP="00370CAC">
      <w:pPr>
        <w:jc w:val="both"/>
        <w:rPr>
          <w:rFonts w:asciiTheme="majorBidi" w:hAnsiTheme="majorBidi" w:cstheme="majorBidi"/>
          <w:sz w:val="28"/>
          <w:szCs w:val="28"/>
        </w:rPr>
      </w:pPr>
      <w:r w:rsidRPr="0036339C">
        <w:rPr>
          <w:rFonts w:asciiTheme="majorBidi" w:hAnsiTheme="majorBidi" w:cstheme="majorBidi"/>
          <w:sz w:val="28"/>
          <w:szCs w:val="28"/>
        </w:rPr>
        <w:t xml:space="preserve">     On y ajoute à la suite les espèces du deuxième relevé qui ne figurent pas dans le premier et ainsi de suite jusqu'à ce que tous les relevés et toutes les espèces aient été inscrits. Dans la case à l'intersection d'une ligne et d'une colonne on indique l'abondance-dominance et la sociabilité de l'espèce dans le relevé. Si l'espèce n'est pas représentée dans le relevé, la case reste vide. Dans le tableau brut, relevés et espèces sont placés sans ordre.  </w:t>
      </w:r>
    </w:p>
    <w:p w:rsidR="00370CAC" w:rsidRDefault="00370CAC" w:rsidP="00370CAC">
      <w:pPr>
        <w:rPr>
          <w:rFonts w:asciiTheme="majorBidi" w:hAnsiTheme="majorBidi" w:cstheme="majorBidi"/>
          <w:sz w:val="28"/>
          <w:szCs w:val="28"/>
        </w:rPr>
      </w:pPr>
      <w:r>
        <w:rPr>
          <w:noProof/>
          <w:lang w:eastAsia="fr-FR"/>
        </w:rPr>
        <w:drawing>
          <wp:inline distT="0" distB="0" distL="0" distR="0" wp14:anchorId="714C8596" wp14:editId="1FADB5D1">
            <wp:extent cx="5760720" cy="25419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541905"/>
                    </a:xfrm>
                    <a:prstGeom prst="rect">
                      <a:avLst/>
                    </a:prstGeom>
                  </pic:spPr>
                </pic:pic>
              </a:graphicData>
            </a:graphic>
          </wp:inline>
        </w:drawing>
      </w:r>
    </w:p>
    <w:p w:rsidR="00370CAC" w:rsidRDefault="00370CAC" w:rsidP="00370CAC">
      <w:pPr>
        <w:jc w:val="center"/>
        <w:rPr>
          <w:rFonts w:asciiTheme="majorBidi" w:hAnsiTheme="majorBidi" w:cstheme="majorBidi"/>
          <w:sz w:val="28"/>
          <w:szCs w:val="28"/>
        </w:rPr>
      </w:pPr>
      <w:r>
        <w:rPr>
          <w:rFonts w:asciiTheme="majorBidi" w:hAnsiTheme="majorBidi" w:cstheme="majorBidi"/>
          <w:b/>
          <w:bCs/>
          <w:sz w:val="28"/>
          <w:szCs w:val="28"/>
        </w:rPr>
        <w:t>Tableau 2</w:t>
      </w:r>
      <w:r w:rsidRPr="003E3F10">
        <w:rPr>
          <w:rFonts w:asciiTheme="majorBidi" w:hAnsiTheme="majorBidi" w:cstheme="majorBidi"/>
          <w:b/>
          <w:bCs/>
          <w:sz w:val="28"/>
          <w:szCs w:val="28"/>
        </w:rPr>
        <w:t> :</w:t>
      </w:r>
      <w:r>
        <w:rPr>
          <w:rFonts w:asciiTheme="majorBidi" w:hAnsiTheme="majorBidi" w:cstheme="majorBidi"/>
          <w:sz w:val="28"/>
          <w:szCs w:val="28"/>
        </w:rPr>
        <w:t xml:space="preserve"> exemple de tableau brute (Bouzidi et al, 2009)</w:t>
      </w:r>
    </w:p>
    <w:p w:rsidR="00370CAC" w:rsidRDefault="00370CAC" w:rsidP="00370CAC">
      <w:pPr>
        <w:jc w:val="center"/>
        <w:rPr>
          <w:rFonts w:asciiTheme="majorBidi" w:hAnsiTheme="majorBidi" w:cstheme="majorBidi"/>
          <w:sz w:val="28"/>
          <w:szCs w:val="28"/>
        </w:rPr>
      </w:pPr>
      <w:r w:rsidRPr="00945855">
        <w:rPr>
          <w:rFonts w:asciiTheme="majorBidi" w:hAnsiTheme="majorBidi" w:cstheme="majorBidi"/>
          <w:noProof/>
          <w:sz w:val="28"/>
          <w:szCs w:val="28"/>
          <w:lang w:eastAsia="fr-FR"/>
        </w:rPr>
        <w:drawing>
          <wp:inline distT="0" distB="0" distL="0" distR="0" wp14:anchorId="6624E32C" wp14:editId="302BFD6E">
            <wp:extent cx="2771140" cy="1856849"/>
            <wp:effectExtent l="0" t="0" r="0" b="0"/>
            <wp:docPr id="8" name="Image 8" descr="https://www.osi-perception.org/IMG/jpg/10746.jpg?983/df5f18b54473e1590a0a994da1fb2c903ad87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si-perception.org/IMG/jpg/10746.jpg?983/df5f18b54473e1590a0a994da1fb2c903ad873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2987" cy="1864787"/>
                    </a:xfrm>
                    <a:prstGeom prst="rect">
                      <a:avLst/>
                    </a:prstGeom>
                    <a:noFill/>
                    <a:ln>
                      <a:noFill/>
                    </a:ln>
                  </pic:spPr>
                </pic:pic>
              </a:graphicData>
            </a:graphic>
          </wp:inline>
        </w:drawing>
      </w:r>
    </w:p>
    <w:p w:rsidR="00370CAC" w:rsidRDefault="00370CAC" w:rsidP="00370CAC">
      <w:pPr>
        <w:jc w:val="center"/>
        <w:rPr>
          <w:rFonts w:asciiTheme="majorBidi" w:hAnsiTheme="majorBidi" w:cstheme="majorBidi"/>
          <w:sz w:val="28"/>
          <w:szCs w:val="28"/>
        </w:rPr>
      </w:pPr>
      <w:r w:rsidRPr="00945855">
        <w:rPr>
          <w:rFonts w:asciiTheme="majorBidi" w:hAnsiTheme="majorBidi" w:cstheme="majorBidi"/>
          <w:b/>
          <w:bCs/>
          <w:sz w:val="28"/>
          <w:szCs w:val="28"/>
        </w:rPr>
        <w:t>Figure </w:t>
      </w:r>
      <w:r>
        <w:rPr>
          <w:rFonts w:asciiTheme="majorBidi" w:hAnsiTheme="majorBidi" w:cstheme="majorBidi"/>
          <w:b/>
          <w:bCs/>
          <w:sz w:val="28"/>
          <w:szCs w:val="28"/>
        </w:rPr>
        <w:t xml:space="preserve">15 </w:t>
      </w:r>
      <w:r w:rsidRPr="00945855">
        <w:rPr>
          <w:rFonts w:asciiTheme="majorBidi" w:hAnsiTheme="majorBidi" w:cstheme="majorBidi"/>
          <w:b/>
          <w:bCs/>
          <w:sz w:val="28"/>
          <w:szCs w:val="28"/>
        </w:rPr>
        <w:t>:</w:t>
      </w:r>
      <w:r>
        <w:rPr>
          <w:rFonts w:asciiTheme="majorBidi" w:hAnsiTheme="majorBidi" w:cstheme="majorBidi"/>
          <w:sz w:val="28"/>
          <w:szCs w:val="28"/>
        </w:rPr>
        <w:t xml:space="preserve"> Tableau brute</w:t>
      </w:r>
    </w:p>
    <w:p w:rsidR="00370CAC" w:rsidRDefault="00370CAC" w:rsidP="00370CAC">
      <w:pPr>
        <w:rPr>
          <w:rFonts w:asciiTheme="majorBidi" w:hAnsiTheme="majorBidi" w:cstheme="majorBidi"/>
          <w:sz w:val="28"/>
          <w:szCs w:val="28"/>
        </w:rPr>
      </w:pPr>
      <w:r w:rsidRPr="001A603D">
        <w:rPr>
          <w:rFonts w:asciiTheme="majorBidi" w:hAnsiTheme="majorBidi" w:cstheme="majorBidi"/>
          <w:sz w:val="28"/>
          <w:szCs w:val="28"/>
        </w:rPr>
        <w:t xml:space="preserve">- : espèce absente. + : quelques individus isolés (espèce présente). </w:t>
      </w:r>
    </w:p>
    <w:p w:rsidR="00370CAC" w:rsidRDefault="00370CAC" w:rsidP="00370CAC">
      <w:pPr>
        <w:rPr>
          <w:rFonts w:asciiTheme="majorBidi" w:hAnsiTheme="majorBidi" w:cstheme="majorBidi"/>
          <w:sz w:val="28"/>
          <w:szCs w:val="28"/>
        </w:rPr>
      </w:pPr>
      <w:r w:rsidRPr="001A603D">
        <w:rPr>
          <w:rFonts w:asciiTheme="majorBidi" w:hAnsiTheme="majorBidi" w:cstheme="majorBidi"/>
          <w:sz w:val="28"/>
          <w:szCs w:val="28"/>
        </w:rPr>
        <w:t xml:space="preserve">Lorsque l'espèce est suffisamment représentée, le chiffre de </w:t>
      </w:r>
      <w:r w:rsidRPr="00CE43D4">
        <w:rPr>
          <w:rFonts w:asciiTheme="majorBidi" w:hAnsiTheme="majorBidi" w:cstheme="majorBidi"/>
          <w:b/>
          <w:bCs/>
          <w:sz w:val="28"/>
          <w:szCs w:val="28"/>
        </w:rPr>
        <w:t>gauche</w:t>
      </w:r>
      <w:r w:rsidRPr="001A603D">
        <w:rPr>
          <w:rFonts w:asciiTheme="majorBidi" w:hAnsiTheme="majorBidi" w:cstheme="majorBidi"/>
          <w:sz w:val="28"/>
          <w:szCs w:val="28"/>
        </w:rPr>
        <w:t xml:space="preserve"> indique </w:t>
      </w:r>
      <w:r w:rsidRPr="00CE43D4">
        <w:rPr>
          <w:rFonts w:asciiTheme="majorBidi" w:hAnsiTheme="majorBidi" w:cstheme="majorBidi"/>
          <w:b/>
          <w:bCs/>
          <w:sz w:val="28"/>
          <w:szCs w:val="28"/>
        </w:rPr>
        <w:t>l'abondance</w:t>
      </w:r>
      <w:r w:rsidRPr="001A603D">
        <w:rPr>
          <w:rFonts w:asciiTheme="majorBidi" w:hAnsiTheme="majorBidi" w:cstheme="majorBidi"/>
          <w:sz w:val="28"/>
          <w:szCs w:val="28"/>
        </w:rPr>
        <w:t>, sur une échelle allant jusqu'à 5 : 1 pour un taux de recouvrement inférieur à 5 % (espèce présente), 2 pour un taux de 5 à 25 % (espèce peu abondante), 3 pour un taux de 25 à 50 % (espèce abondante)…</w:t>
      </w:r>
      <w:r w:rsidRPr="001A603D">
        <w:rPr>
          <w:rFonts w:asciiTheme="majorBidi" w:hAnsiTheme="majorBidi" w:cstheme="majorBidi"/>
          <w:sz w:val="28"/>
          <w:szCs w:val="28"/>
        </w:rPr>
        <w:br/>
        <w:t xml:space="preserve">Le chiffre de </w:t>
      </w:r>
      <w:r w:rsidRPr="00CE43D4">
        <w:rPr>
          <w:rFonts w:asciiTheme="majorBidi" w:hAnsiTheme="majorBidi" w:cstheme="majorBidi"/>
          <w:b/>
          <w:bCs/>
          <w:sz w:val="28"/>
          <w:szCs w:val="28"/>
        </w:rPr>
        <w:t>droite</w:t>
      </w:r>
      <w:r w:rsidRPr="001A603D">
        <w:rPr>
          <w:rFonts w:asciiTheme="majorBidi" w:hAnsiTheme="majorBidi" w:cstheme="majorBidi"/>
          <w:sz w:val="28"/>
          <w:szCs w:val="28"/>
        </w:rPr>
        <w:t xml:space="preserve"> indique la </w:t>
      </w:r>
      <w:r w:rsidRPr="00CE43D4">
        <w:rPr>
          <w:rFonts w:asciiTheme="majorBidi" w:hAnsiTheme="majorBidi" w:cstheme="majorBidi"/>
          <w:b/>
          <w:bCs/>
          <w:sz w:val="28"/>
          <w:szCs w:val="28"/>
        </w:rPr>
        <w:t>sociabilité</w:t>
      </w:r>
      <w:r w:rsidRPr="001A603D">
        <w:rPr>
          <w:rFonts w:asciiTheme="majorBidi" w:hAnsiTheme="majorBidi" w:cstheme="majorBidi"/>
          <w:sz w:val="28"/>
          <w:szCs w:val="28"/>
        </w:rPr>
        <w:t xml:space="preserve"> de l'espèce, sur une échelle allant jusqu'à 5 : 1 pour des individus isolés, 2 pour des individus en groupes, 3 pour des individus en troupes, 4 pour des individus en petites colonies, 5 pour des individus en peuplements.</w:t>
      </w:r>
      <w:r w:rsidRPr="001A603D">
        <w:rPr>
          <w:rFonts w:asciiTheme="majorBidi" w:hAnsiTheme="majorBidi" w:cstheme="majorBidi"/>
          <w:sz w:val="28"/>
          <w:szCs w:val="28"/>
        </w:rPr>
        <w:br/>
        <w:t>La fréquence est le rapport entre le nombre de relevées (n) où l'espèce (</w:t>
      </w:r>
      <w:r>
        <w:rPr>
          <w:rFonts w:asciiTheme="majorBidi" w:hAnsiTheme="majorBidi" w:cstheme="majorBidi"/>
          <w:sz w:val="28"/>
          <w:szCs w:val="28"/>
        </w:rPr>
        <w:t>X</w:t>
      </w:r>
      <w:r w:rsidRPr="001A603D">
        <w:rPr>
          <w:rFonts w:asciiTheme="majorBidi" w:hAnsiTheme="majorBidi" w:cstheme="majorBidi"/>
          <w:sz w:val="28"/>
          <w:szCs w:val="28"/>
        </w:rPr>
        <w:t xml:space="preserve">) existe sur le nombre total des relevées (N). </w:t>
      </w:r>
      <w:r w:rsidRPr="00B179C9">
        <w:rPr>
          <w:rFonts w:asciiTheme="majorBidi" w:hAnsiTheme="majorBidi" w:cstheme="majorBidi"/>
          <w:sz w:val="28"/>
          <w:szCs w:val="28"/>
        </w:rPr>
        <w:t>On l'exprime le plus souvent par un %</w:t>
      </w:r>
    </w:p>
    <w:p w:rsidR="00370CAC" w:rsidRPr="00B179C9" w:rsidRDefault="00370CAC" w:rsidP="00370CAC">
      <w:pPr>
        <w:jc w:val="center"/>
        <w:rPr>
          <w:rFonts w:asciiTheme="majorBidi" w:hAnsiTheme="majorBidi" w:cstheme="majorBidi"/>
          <w:b/>
          <w:bCs/>
          <w:sz w:val="28"/>
          <w:szCs w:val="28"/>
        </w:rPr>
      </w:pPr>
      <w:r w:rsidRPr="00B179C9">
        <w:rPr>
          <w:rFonts w:asciiTheme="majorBidi" w:hAnsiTheme="majorBidi" w:cstheme="majorBidi"/>
          <w:b/>
          <w:bCs/>
          <w:sz w:val="28"/>
          <w:szCs w:val="28"/>
        </w:rPr>
        <w:t xml:space="preserve">F(x) = </w:t>
      </w:r>
      <w:r>
        <w:rPr>
          <w:rFonts w:asciiTheme="majorBidi" w:hAnsiTheme="majorBidi" w:cstheme="majorBidi"/>
          <w:b/>
          <w:bCs/>
          <w:sz w:val="28"/>
          <w:szCs w:val="28"/>
        </w:rPr>
        <w:t>(</w:t>
      </w:r>
      <w:r w:rsidRPr="00B179C9">
        <w:rPr>
          <w:rFonts w:asciiTheme="majorBidi" w:hAnsiTheme="majorBidi" w:cstheme="majorBidi"/>
          <w:b/>
          <w:bCs/>
          <w:sz w:val="28"/>
          <w:szCs w:val="28"/>
        </w:rPr>
        <w:t>n/N</w:t>
      </w:r>
      <w:r>
        <w:rPr>
          <w:rFonts w:asciiTheme="majorBidi" w:hAnsiTheme="majorBidi" w:cstheme="majorBidi"/>
          <w:b/>
          <w:bCs/>
          <w:sz w:val="28"/>
          <w:szCs w:val="28"/>
        </w:rPr>
        <w:t>)</w:t>
      </w:r>
      <w:r w:rsidRPr="00B179C9">
        <w:rPr>
          <w:rFonts w:asciiTheme="majorBidi" w:hAnsiTheme="majorBidi" w:cstheme="majorBidi"/>
          <w:b/>
          <w:bCs/>
          <w:sz w:val="28"/>
          <w:szCs w:val="28"/>
        </w:rPr>
        <w:t xml:space="preserve"> × 100</w:t>
      </w:r>
    </w:p>
    <w:p w:rsidR="00370CAC" w:rsidRDefault="00370CAC" w:rsidP="00370CAC">
      <w:pPr>
        <w:rPr>
          <w:rFonts w:asciiTheme="majorBidi" w:hAnsiTheme="majorBidi" w:cstheme="majorBidi"/>
          <w:sz w:val="28"/>
          <w:szCs w:val="28"/>
        </w:rPr>
      </w:pPr>
      <w:r w:rsidRPr="00B179C9">
        <w:rPr>
          <w:rFonts w:asciiTheme="majorBidi" w:hAnsiTheme="majorBidi" w:cstheme="majorBidi"/>
          <w:sz w:val="28"/>
          <w:szCs w:val="28"/>
        </w:rPr>
        <w:t>Exemple : si dans 25 relevés on trouve 5 fois l'espèce x ; F= 5/25 ×100 c'est 20%</w:t>
      </w:r>
    </w:p>
    <w:p w:rsidR="00370CAC" w:rsidRDefault="00370CAC" w:rsidP="00370CAC">
      <w:pPr>
        <w:rPr>
          <w:rFonts w:asciiTheme="majorBidi" w:hAnsiTheme="majorBidi" w:cstheme="majorBidi"/>
          <w:sz w:val="28"/>
          <w:szCs w:val="28"/>
        </w:rPr>
      </w:pPr>
      <w:r>
        <w:rPr>
          <w:rFonts w:asciiTheme="majorBidi" w:hAnsiTheme="majorBidi" w:cstheme="majorBidi"/>
          <w:sz w:val="28"/>
          <w:szCs w:val="28"/>
        </w:rPr>
        <w:t xml:space="preserve">On </w:t>
      </w:r>
      <w:r w:rsidRPr="00DA347A">
        <w:rPr>
          <w:rFonts w:asciiTheme="majorBidi" w:hAnsiTheme="majorBidi" w:cstheme="majorBidi"/>
          <w:sz w:val="28"/>
          <w:szCs w:val="28"/>
        </w:rPr>
        <w:t xml:space="preserve">range les fréquences en 5 classes : </w:t>
      </w:r>
    </w:p>
    <w:p w:rsidR="00370CAC" w:rsidRDefault="00370CAC" w:rsidP="00370CAC">
      <w:pPr>
        <w:rPr>
          <w:rFonts w:asciiTheme="majorBidi" w:hAnsiTheme="majorBidi" w:cstheme="majorBidi"/>
          <w:sz w:val="28"/>
          <w:szCs w:val="28"/>
        </w:rPr>
      </w:pPr>
      <w:r w:rsidRPr="00DA347A">
        <w:rPr>
          <w:rFonts w:asciiTheme="majorBidi" w:hAnsiTheme="majorBidi" w:cstheme="majorBidi"/>
          <w:sz w:val="28"/>
          <w:szCs w:val="28"/>
        </w:rPr>
        <w:t xml:space="preserve">- </w:t>
      </w:r>
      <w:r w:rsidRPr="00DA347A">
        <w:rPr>
          <w:rFonts w:asciiTheme="majorBidi" w:hAnsiTheme="majorBidi" w:cstheme="majorBidi"/>
          <w:b/>
          <w:bCs/>
          <w:sz w:val="28"/>
          <w:szCs w:val="28"/>
        </w:rPr>
        <w:t>Classe I</w:t>
      </w:r>
      <w:r>
        <w:rPr>
          <w:rFonts w:asciiTheme="majorBidi" w:hAnsiTheme="majorBidi" w:cstheme="majorBidi"/>
          <w:sz w:val="28"/>
          <w:szCs w:val="28"/>
        </w:rPr>
        <w:t xml:space="preserve"> </w:t>
      </w:r>
      <w:r w:rsidRPr="00DA347A">
        <w:rPr>
          <w:rFonts w:asciiTheme="majorBidi" w:hAnsiTheme="majorBidi" w:cstheme="majorBidi"/>
          <w:sz w:val="28"/>
          <w:szCs w:val="28"/>
        </w:rPr>
        <w:t>: la fréquence est comprise entre 0 et 20% (espèce est très rare).</w:t>
      </w:r>
    </w:p>
    <w:p w:rsidR="00370CAC" w:rsidRDefault="00370CAC" w:rsidP="00370CAC">
      <w:pPr>
        <w:rPr>
          <w:rFonts w:asciiTheme="majorBidi" w:hAnsiTheme="majorBidi" w:cstheme="majorBidi"/>
          <w:sz w:val="28"/>
          <w:szCs w:val="28"/>
        </w:rPr>
      </w:pPr>
      <w:r w:rsidRPr="00DA347A">
        <w:rPr>
          <w:rFonts w:asciiTheme="majorBidi" w:hAnsiTheme="majorBidi" w:cstheme="majorBidi"/>
          <w:sz w:val="28"/>
          <w:szCs w:val="28"/>
        </w:rPr>
        <w:t xml:space="preserve">- </w:t>
      </w:r>
      <w:r w:rsidRPr="00DA347A">
        <w:rPr>
          <w:rFonts w:asciiTheme="majorBidi" w:hAnsiTheme="majorBidi" w:cstheme="majorBidi"/>
          <w:b/>
          <w:bCs/>
          <w:sz w:val="28"/>
          <w:szCs w:val="28"/>
        </w:rPr>
        <w:t>Classe II</w:t>
      </w:r>
      <w:r w:rsidRPr="00DA347A">
        <w:rPr>
          <w:rFonts w:asciiTheme="majorBidi" w:hAnsiTheme="majorBidi" w:cstheme="majorBidi"/>
          <w:sz w:val="28"/>
          <w:szCs w:val="28"/>
        </w:rPr>
        <w:t xml:space="preserve"> : la fréquence est comprise entre 21 et 40% (espèce est rare ou accidentelle). </w:t>
      </w:r>
    </w:p>
    <w:p w:rsidR="00370CAC" w:rsidRDefault="00370CAC" w:rsidP="00370CAC">
      <w:pPr>
        <w:rPr>
          <w:rFonts w:asciiTheme="majorBidi" w:hAnsiTheme="majorBidi" w:cstheme="majorBidi"/>
          <w:sz w:val="28"/>
          <w:szCs w:val="28"/>
        </w:rPr>
      </w:pPr>
      <w:r w:rsidRPr="00DA347A">
        <w:rPr>
          <w:rFonts w:asciiTheme="majorBidi" w:hAnsiTheme="majorBidi" w:cstheme="majorBidi"/>
          <w:sz w:val="28"/>
          <w:szCs w:val="28"/>
        </w:rPr>
        <w:t xml:space="preserve">- </w:t>
      </w:r>
      <w:r w:rsidRPr="00DA347A">
        <w:rPr>
          <w:rFonts w:asciiTheme="majorBidi" w:hAnsiTheme="majorBidi" w:cstheme="majorBidi"/>
          <w:b/>
          <w:bCs/>
          <w:sz w:val="28"/>
          <w:szCs w:val="28"/>
        </w:rPr>
        <w:t>Classe III</w:t>
      </w:r>
      <w:r w:rsidRPr="00DA347A">
        <w:rPr>
          <w:rFonts w:asciiTheme="majorBidi" w:hAnsiTheme="majorBidi" w:cstheme="majorBidi"/>
          <w:sz w:val="28"/>
          <w:szCs w:val="28"/>
        </w:rPr>
        <w:t xml:space="preserve"> : la fréquence est comprise entre 41 et 60 % (espèce est relativement fréquente). </w:t>
      </w:r>
    </w:p>
    <w:p w:rsidR="00370CAC" w:rsidRPr="00DA347A" w:rsidRDefault="00370CAC" w:rsidP="00370CAC">
      <w:pPr>
        <w:rPr>
          <w:rFonts w:asciiTheme="majorBidi" w:hAnsiTheme="majorBidi" w:cstheme="majorBidi"/>
          <w:sz w:val="28"/>
          <w:szCs w:val="28"/>
        </w:rPr>
      </w:pPr>
      <w:r w:rsidRPr="00DA347A">
        <w:rPr>
          <w:rFonts w:asciiTheme="majorBidi" w:hAnsiTheme="majorBidi" w:cstheme="majorBidi"/>
          <w:sz w:val="28"/>
          <w:szCs w:val="28"/>
        </w:rPr>
        <w:t xml:space="preserve">- </w:t>
      </w:r>
      <w:r w:rsidRPr="00DA347A">
        <w:rPr>
          <w:rFonts w:asciiTheme="majorBidi" w:hAnsiTheme="majorBidi" w:cstheme="majorBidi"/>
          <w:b/>
          <w:bCs/>
          <w:sz w:val="28"/>
          <w:szCs w:val="28"/>
        </w:rPr>
        <w:t>Classe IV</w:t>
      </w:r>
      <w:r w:rsidRPr="00DA347A">
        <w:rPr>
          <w:rFonts w:asciiTheme="majorBidi" w:hAnsiTheme="majorBidi" w:cstheme="majorBidi"/>
          <w:sz w:val="28"/>
          <w:szCs w:val="28"/>
        </w:rPr>
        <w:t xml:space="preserve"> : la fréquence est comprise entre 61 et 80 % (espèce est abondante). - </w:t>
      </w:r>
      <w:r w:rsidRPr="00DA347A">
        <w:rPr>
          <w:rFonts w:asciiTheme="majorBidi" w:hAnsiTheme="majorBidi" w:cstheme="majorBidi"/>
          <w:b/>
          <w:bCs/>
          <w:sz w:val="28"/>
          <w:szCs w:val="28"/>
        </w:rPr>
        <w:t>Classe V</w:t>
      </w:r>
      <w:r w:rsidRPr="00DA347A">
        <w:rPr>
          <w:rFonts w:asciiTheme="majorBidi" w:hAnsiTheme="majorBidi" w:cstheme="majorBidi"/>
          <w:sz w:val="28"/>
          <w:szCs w:val="28"/>
        </w:rPr>
        <w:t xml:space="preserve"> : la fréquence est comprise entre 81 et 100 % (espèce est très abondante ou constante).</w:t>
      </w:r>
    </w:p>
    <w:p w:rsidR="00370CAC" w:rsidRPr="0036339C" w:rsidRDefault="00370CAC" w:rsidP="00370CAC">
      <w:pPr>
        <w:rPr>
          <w:rFonts w:asciiTheme="majorBidi" w:hAnsiTheme="majorBidi" w:cstheme="majorBidi"/>
          <w:b/>
          <w:bCs/>
          <w:sz w:val="28"/>
          <w:szCs w:val="28"/>
        </w:rPr>
      </w:pPr>
      <w:r>
        <w:rPr>
          <w:rFonts w:asciiTheme="majorBidi" w:hAnsiTheme="majorBidi" w:cstheme="majorBidi"/>
          <w:b/>
          <w:bCs/>
          <w:sz w:val="28"/>
          <w:szCs w:val="28"/>
        </w:rPr>
        <w:t>֍</w:t>
      </w:r>
      <w:r w:rsidRPr="0036339C">
        <w:rPr>
          <w:rFonts w:asciiTheme="majorBidi" w:hAnsiTheme="majorBidi" w:cstheme="majorBidi"/>
          <w:b/>
          <w:bCs/>
          <w:sz w:val="28"/>
          <w:szCs w:val="28"/>
        </w:rPr>
        <w:t xml:space="preserve">) Le tableau de présence : </w:t>
      </w:r>
    </w:p>
    <w:p w:rsidR="00370CAC" w:rsidRPr="0036339C" w:rsidRDefault="00370CAC" w:rsidP="00370CAC">
      <w:pPr>
        <w:jc w:val="both"/>
        <w:rPr>
          <w:rFonts w:asciiTheme="majorBidi" w:hAnsiTheme="majorBidi" w:cstheme="majorBidi"/>
          <w:sz w:val="28"/>
          <w:szCs w:val="28"/>
        </w:rPr>
      </w:pPr>
      <w:r w:rsidRPr="0036339C">
        <w:rPr>
          <w:rFonts w:asciiTheme="majorBidi" w:hAnsiTheme="majorBidi" w:cstheme="majorBidi"/>
          <w:sz w:val="28"/>
          <w:szCs w:val="28"/>
        </w:rPr>
        <w:t xml:space="preserve">     Il s'agit d'une transformation du tableau brut : on ordonne les espèces en fonction de leur degré de présence décroissant. Les espèces très rares ou à degré de présence très élevé (présentes dans tous les relevés ou presque) sont peu intéressantes.  </w:t>
      </w:r>
    </w:p>
    <w:p w:rsidR="00370CAC" w:rsidRDefault="00370CAC" w:rsidP="00370CAC">
      <w:pPr>
        <w:jc w:val="both"/>
        <w:rPr>
          <w:rFonts w:asciiTheme="majorBidi" w:hAnsiTheme="majorBidi" w:cstheme="majorBidi"/>
          <w:sz w:val="28"/>
          <w:szCs w:val="28"/>
        </w:rPr>
      </w:pPr>
      <w:r w:rsidRPr="0036339C">
        <w:rPr>
          <w:rFonts w:asciiTheme="majorBidi" w:hAnsiTheme="majorBidi" w:cstheme="majorBidi"/>
          <w:sz w:val="28"/>
          <w:szCs w:val="28"/>
        </w:rPr>
        <w:t xml:space="preserve">L'opération essentielle de la méthode consiste à rechercher s'il n'y a pas des groupes d'espèces qui se rencontrent généralement ensemble dans une partie des relevés et sont généralement simultanément absentes des autres. Ces espèces sont qualifiées du nom d'espèces différentielles. </w:t>
      </w:r>
    </w:p>
    <w:p w:rsidR="00370CAC" w:rsidRDefault="00370CAC" w:rsidP="00370CAC">
      <w:pPr>
        <w:jc w:val="center"/>
        <w:rPr>
          <w:rFonts w:asciiTheme="majorBidi" w:hAnsiTheme="majorBidi" w:cstheme="majorBidi"/>
          <w:sz w:val="28"/>
          <w:szCs w:val="28"/>
        </w:rPr>
      </w:pPr>
      <w:r w:rsidRPr="00945855">
        <w:rPr>
          <w:rFonts w:asciiTheme="majorBidi" w:hAnsiTheme="majorBidi" w:cstheme="majorBidi"/>
          <w:noProof/>
          <w:sz w:val="28"/>
          <w:szCs w:val="28"/>
          <w:lang w:eastAsia="fr-FR"/>
        </w:rPr>
        <w:drawing>
          <wp:inline distT="0" distB="0" distL="0" distR="0" wp14:anchorId="22A634C3" wp14:editId="5D42E179">
            <wp:extent cx="3113177" cy="2092461"/>
            <wp:effectExtent l="0" t="0" r="0" b="3175"/>
            <wp:docPr id="9" name="Image 9" descr="https://www.osi-perception.org/IMG/jpg/10747.jpg?984/e7a564ae4a4960d3e2a01f781329bb40be6b4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si-perception.org/IMG/jpg/10747.jpg?984/e7a564ae4a4960d3e2a01f781329bb40be6b4c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6731" cy="2094850"/>
                    </a:xfrm>
                    <a:prstGeom prst="rect">
                      <a:avLst/>
                    </a:prstGeom>
                    <a:noFill/>
                    <a:ln>
                      <a:noFill/>
                    </a:ln>
                  </pic:spPr>
                </pic:pic>
              </a:graphicData>
            </a:graphic>
          </wp:inline>
        </w:drawing>
      </w:r>
    </w:p>
    <w:p w:rsidR="00370CAC" w:rsidRDefault="00370CAC" w:rsidP="00370CAC">
      <w:pPr>
        <w:jc w:val="center"/>
        <w:rPr>
          <w:rFonts w:asciiTheme="majorBidi" w:hAnsiTheme="majorBidi" w:cstheme="majorBidi"/>
          <w:sz w:val="28"/>
          <w:szCs w:val="28"/>
        </w:rPr>
      </w:pPr>
      <w:r w:rsidRPr="00945855">
        <w:rPr>
          <w:rFonts w:asciiTheme="majorBidi" w:hAnsiTheme="majorBidi" w:cstheme="majorBidi"/>
          <w:b/>
          <w:bCs/>
          <w:sz w:val="28"/>
          <w:szCs w:val="28"/>
        </w:rPr>
        <w:t>Figure </w:t>
      </w:r>
      <w:r>
        <w:rPr>
          <w:rFonts w:asciiTheme="majorBidi" w:hAnsiTheme="majorBidi" w:cstheme="majorBidi"/>
          <w:b/>
          <w:bCs/>
          <w:sz w:val="28"/>
          <w:szCs w:val="28"/>
        </w:rPr>
        <w:t xml:space="preserve">16 </w:t>
      </w:r>
      <w:r w:rsidRPr="00945855">
        <w:rPr>
          <w:rFonts w:asciiTheme="majorBidi" w:hAnsiTheme="majorBidi" w:cstheme="majorBidi"/>
          <w:b/>
          <w:bCs/>
          <w:sz w:val="28"/>
          <w:szCs w:val="28"/>
        </w:rPr>
        <w:t>:</w:t>
      </w:r>
      <w:r>
        <w:rPr>
          <w:rFonts w:asciiTheme="majorBidi" w:hAnsiTheme="majorBidi" w:cstheme="majorBidi"/>
          <w:sz w:val="28"/>
          <w:szCs w:val="28"/>
        </w:rPr>
        <w:t xml:space="preserve"> Tableau de présence</w:t>
      </w:r>
    </w:p>
    <w:p w:rsidR="00370CAC" w:rsidRPr="0036339C" w:rsidRDefault="00370CAC" w:rsidP="00370CAC">
      <w:pPr>
        <w:rPr>
          <w:rFonts w:asciiTheme="majorBidi" w:hAnsiTheme="majorBidi" w:cstheme="majorBidi"/>
          <w:b/>
          <w:bCs/>
          <w:sz w:val="28"/>
          <w:szCs w:val="28"/>
        </w:rPr>
      </w:pPr>
      <w:r>
        <w:rPr>
          <w:rFonts w:asciiTheme="majorBidi" w:hAnsiTheme="majorBidi" w:cstheme="majorBidi"/>
          <w:b/>
          <w:bCs/>
          <w:sz w:val="28"/>
          <w:szCs w:val="28"/>
        </w:rPr>
        <w:t>֍</w:t>
      </w:r>
      <w:r w:rsidRPr="0036339C">
        <w:rPr>
          <w:rFonts w:asciiTheme="majorBidi" w:hAnsiTheme="majorBidi" w:cstheme="majorBidi"/>
          <w:b/>
          <w:bCs/>
          <w:sz w:val="28"/>
          <w:szCs w:val="28"/>
        </w:rPr>
        <w:t xml:space="preserve">) Le tableau partiel :  </w:t>
      </w:r>
    </w:p>
    <w:p w:rsidR="00370CAC" w:rsidRPr="0036339C" w:rsidRDefault="00370CAC" w:rsidP="00370CAC">
      <w:pPr>
        <w:jc w:val="both"/>
        <w:rPr>
          <w:rFonts w:asciiTheme="majorBidi" w:hAnsiTheme="majorBidi" w:cstheme="majorBidi"/>
          <w:sz w:val="28"/>
          <w:szCs w:val="28"/>
        </w:rPr>
      </w:pPr>
      <w:r w:rsidRPr="0036339C">
        <w:rPr>
          <w:rFonts w:asciiTheme="majorBidi" w:hAnsiTheme="majorBidi" w:cstheme="majorBidi"/>
          <w:sz w:val="28"/>
          <w:szCs w:val="28"/>
        </w:rPr>
        <w:t xml:space="preserve">    Une fois les différentielles mises en évidence, on écrit le tableau partiel en ne gardant que les espèces différentielles et en regroupant les espèces qui appartiennent à un même groupe de différentielles. On fait en bas de ce tableau le total, pour chaque relevé, des espèces différentielles des différents groupes qu'il contient.</w:t>
      </w:r>
    </w:p>
    <w:p w:rsidR="00370CAC" w:rsidRPr="0036339C" w:rsidRDefault="00370CAC" w:rsidP="00370CAC">
      <w:pPr>
        <w:rPr>
          <w:rFonts w:asciiTheme="majorBidi" w:hAnsiTheme="majorBidi" w:cstheme="majorBidi"/>
          <w:b/>
          <w:bCs/>
          <w:sz w:val="28"/>
          <w:szCs w:val="28"/>
        </w:rPr>
      </w:pPr>
      <w:r>
        <w:rPr>
          <w:rFonts w:asciiTheme="majorBidi" w:hAnsiTheme="majorBidi" w:cstheme="majorBidi"/>
          <w:b/>
          <w:bCs/>
          <w:sz w:val="28"/>
          <w:szCs w:val="28"/>
        </w:rPr>
        <w:t>֍</w:t>
      </w:r>
      <w:r w:rsidRPr="0036339C">
        <w:rPr>
          <w:rFonts w:asciiTheme="majorBidi" w:hAnsiTheme="majorBidi" w:cstheme="majorBidi"/>
          <w:b/>
          <w:bCs/>
          <w:sz w:val="28"/>
          <w:szCs w:val="28"/>
        </w:rPr>
        <w:t xml:space="preserve">) Le tableau partiel ordonné : </w:t>
      </w:r>
    </w:p>
    <w:p w:rsidR="00370CAC" w:rsidRDefault="00370CAC" w:rsidP="00370CAC">
      <w:pPr>
        <w:jc w:val="both"/>
        <w:rPr>
          <w:rFonts w:asciiTheme="majorBidi" w:hAnsiTheme="majorBidi" w:cstheme="majorBidi"/>
          <w:sz w:val="28"/>
          <w:szCs w:val="28"/>
        </w:rPr>
      </w:pPr>
      <w:r w:rsidRPr="0036339C">
        <w:rPr>
          <w:rFonts w:asciiTheme="majorBidi" w:hAnsiTheme="majorBidi" w:cstheme="majorBidi"/>
          <w:sz w:val="28"/>
          <w:szCs w:val="28"/>
        </w:rPr>
        <w:t xml:space="preserve">     On écrit les relevés de manière à mettre ceux qui contiennent le plus de différentielles de l'un ou l'autre groupe aux deux bouts, les relevés ayant peu d'espèces différentielles ou un mélange de différentielles de plusieurs groupes étant situés dans la partie médiane.</w:t>
      </w:r>
    </w:p>
    <w:p w:rsidR="00370CAC" w:rsidRDefault="00370CAC" w:rsidP="00370CAC">
      <w:pPr>
        <w:jc w:val="center"/>
        <w:rPr>
          <w:rFonts w:asciiTheme="majorBidi" w:hAnsiTheme="majorBidi" w:cstheme="majorBidi"/>
          <w:sz w:val="28"/>
          <w:szCs w:val="28"/>
        </w:rPr>
      </w:pPr>
      <w:r w:rsidRPr="00945855">
        <w:rPr>
          <w:rFonts w:asciiTheme="majorBidi" w:hAnsiTheme="majorBidi" w:cstheme="majorBidi"/>
          <w:noProof/>
          <w:sz w:val="28"/>
          <w:szCs w:val="28"/>
          <w:lang w:eastAsia="fr-FR"/>
        </w:rPr>
        <w:drawing>
          <wp:inline distT="0" distB="0" distL="0" distR="0" wp14:anchorId="69D0C77B" wp14:editId="0981A270">
            <wp:extent cx="2305685" cy="2541246"/>
            <wp:effectExtent l="0" t="0" r="0" b="0"/>
            <wp:docPr id="10" name="Image 10" descr="https://www.osi-perception.org/local/cache-vignettes/L242xH325/10748-de4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si-perception.org/local/cache-vignettes/L242xH325/10748-de47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6906" cy="2542591"/>
                    </a:xfrm>
                    <a:prstGeom prst="rect">
                      <a:avLst/>
                    </a:prstGeom>
                    <a:noFill/>
                    <a:ln>
                      <a:noFill/>
                    </a:ln>
                  </pic:spPr>
                </pic:pic>
              </a:graphicData>
            </a:graphic>
          </wp:inline>
        </w:drawing>
      </w:r>
    </w:p>
    <w:p w:rsidR="00370CAC" w:rsidRDefault="00370CAC" w:rsidP="00370CAC">
      <w:pPr>
        <w:jc w:val="center"/>
        <w:rPr>
          <w:rFonts w:asciiTheme="majorBidi" w:hAnsiTheme="majorBidi" w:cstheme="majorBidi"/>
          <w:sz w:val="28"/>
          <w:szCs w:val="28"/>
        </w:rPr>
      </w:pPr>
      <w:r w:rsidRPr="00945855">
        <w:rPr>
          <w:rFonts w:asciiTheme="majorBidi" w:hAnsiTheme="majorBidi" w:cstheme="majorBidi"/>
          <w:b/>
          <w:bCs/>
          <w:sz w:val="28"/>
          <w:szCs w:val="28"/>
        </w:rPr>
        <w:t>Figure </w:t>
      </w:r>
      <w:r>
        <w:rPr>
          <w:rFonts w:asciiTheme="majorBidi" w:hAnsiTheme="majorBidi" w:cstheme="majorBidi"/>
          <w:b/>
          <w:bCs/>
          <w:sz w:val="28"/>
          <w:szCs w:val="28"/>
        </w:rPr>
        <w:t xml:space="preserve">17 </w:t>
      </w:r>
      <w:r w:rsidRPr="00945855">
        <w:rPr>
          <w:rFonts w:asciiTheme="majorBidi" w:hAnsiTheme="majorBidi" w:cstheme="majorBidi"/>
          <w:b/>
          <w:bCs/>
          <w:sz w:val="28"/>
          <w:szCs w:val="28"/>
        </w:rPr>
        <w:t>:</w:t>
      </w:r>
      <w:r>
        <w:rPr>
          <w:rFonts w:asciiTheme="majorBidi" w:hAnsiTheme="majorBidi" w:cstheme="majorBidi"/>
          <w:sz w:val="28"/>
          <w:szCs w:val="28"/>
        </w:rPr>
        <w:t xml:space="preserve"> Tableau partiel ordonné</w:t>
      </w:r>
    </w:p>
    <w:p w:rsidR="00370CAC" w:rsidRPr="0036339C" w:rsidRDefault="00370CAC" w:rsidP="00370CAC">
      <w:pPr>
        <w:rPr>
          <w:rFonts w:asciiTheme="majorBidi" w:hAnsiTheme="majorBidi" w:cstheme="majorBidi"/>
          <w:b/>
          <w:bCs/>
          <w:sz w:val="28"/>
          <w:szCs w:val="28"/>
        </w:rPr>
      </w:pPr>
      <w:r>
        <w:rPr>
          <w:rFonts w:asciiTheme="majorBidi" w:hAnsiTheme="majorBidi" w:cstheme="majorBidi"/>
          <w:b/>
          <w:bCs/>
          <w:sz w:val="28"/>
          <w:szCs w:val="28"/>
        </w:rPr>
        <w:t>֍</w:t>
      </w:r>
      <w:r w:rsidRPr="0036339C">
        <w:rPr>
          <w:rFonts w:asciiTheme="majorBidi" w:hAnsiTheme="majorBidi" w:cstheme="majorBidi"/>
          <w:b/>
          <w:bCs/>
          <w:sz w:val="28"/>
          <w:szCs w:val="28"/>
        </w:rPr>
        <w:t xml:space="preserve">) Le tableau différentiel :  </w:t>
      </w:r>
    </w:p>
    <w:p w:rsidR="00370CAC" w:rsidRPr="0036339C" w:rsidRDefault="00370CAC" w:rsidP="00370CAC">
      <w:pPr>
        <w:jc w:val="both"/>
        <w:rPr>
          <w:rFonts w:asciiTheme="majorBidi" w:hAnsiTheme="majorBidi" w:cstheme="majorBidi"/>
          <w:sz w:val="28"/>
          <w:szCs w:val="28"/>
        </w:rPr>
      </w:pPr>
      <w:r w:rsidRPr="0036339C">
        <w:rPr>
          <w:rFonts w:asciiTheme="majorBidi" w:hAnsiTheme="majorBidi" w:cstheme="majorBidi"/>
          <w:sz w:val="28"/>
          <w:szCs w:val="28"/>
        </w:rPr>
        <w:t xml:space="preserve">    On inscrit en tête les groupes différentiels des groupements distingués, puis les autres espèces ou espèces compagnes par ordre de présence décroissante. Sur ce tableau on peut être amené à supprimer des relevés aberrants. En particulier, on élimine les relevés comprenant peu d'espèces différentielles et beaucoup d'espèces rares, qu'on interprète comme des relevés appartenant à des</w:t>
      </w:r>
      <w:r>
        <w:rPr>
          <w:rFonts w:asciiTheme="majorBidi" w:hAnsiTheme="majorBidi" w:cstheme="majorBidi"/>
          <w:sz w:val="28"/>
          <w:szCs w:val="28"/>
        </w:rPr>
        <w:t xml:space="preserve"> </w:t>
      </w:r>
      <w:r w:rsidRPr="0036339C">
        <w:rPr>
          <w:rFonts w:asciiTheme="majorBidi" w:hAnsiTheme="majorBidi" w:cstheme="majorBidi"/>
          <w:sz w:val="28"/>
          <w:szCs w:val="28"/>
        </w:rPr>
        <w:t xml:space="preserve">groupements autres que ceux figurant dans le tableau. On élimine aussi les relevés comportant des différentielles de deux (ou plusieurs) groupes qui s'excluent en général l'un l'autre. Ce sont des cas aberrants correspondants à des mélanges ou des transitions entre groupements. </w:t>
      </w:r>
    </w:p>
    <w:p w:rsidR="00370CAC" w:rsidRDefault="00370CAC" w:rsidP="00370CAC">
      <w:pPr>
        <w:jc w:val="center"/>
        <w:rPr>
          <w:rFonts w:asciiTheme="majorBidi" w:hAnsiTheme="majorBidi" w:cstheme="majorBidi"/>
          <w:sz w:val="28"/>
          <w:szCs w:val="28"/>
        </w:rPr>
      </w:pPr>
      <w:r w:rsidRPr="00945855">
        <w:rPr>
          <w:rFonts w:asciiTheme="majorBidi" w:hAnsiTheme="majorBidi" w:cstheme="majorBidi"/>
          <w:noProof/>
          <w:sz w:val="28"/>
          <w:szCs w:val="28"/>
          <w:lang w:eastAsia="fr-FR"/>
        </w:rPr>
        <w:drawing>
          <wp:inline distT="0" distB="0" distL="0" distR="0" wp14:anchorId="4D41539D" wp14:editId="5E319F53">
            <wp:extent cx="3110230" cy="1552575"/>
            <wp:effectExtent l="0" t="0" r="0" b="9525"/>
            <wp:docPr id="11" name="Image 11" descr="https://www.osi-perception.org/IMG/jpg/10847.jpg?991/8bfcf37a23c4275ed7e93f18ec11da01f7fd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si-perception.org/IMG/jpg/10847.jpg?991/8bfcf37a23c4275ed7e93f18ec11da01f7fd20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1996" cy="1563440"/>
                    </a:xfrm>
                    <a:prstGeom prst="rect">
                      <a:avLst/>
                    </a:prstGeom>
                    <a:noFill/>
                    <a:ln>
                      <a:noFill/>
                    </a:ln>
                  </pic:spPr>
                </pic:pic>
              </a:graphicData>
            </a:graphic>
          </wp:inline>
        </w:drawing>
      </w:r>
    </w:p>
    <w:p w:rsidR="00370CAC" w:rsidRPr="0036339C" w:rsidRDefault="00370CAC" w:rsidP="00370CAC">
      <w:pPr>
        <w:jc w:val="center"/>
        <w:rPr>
          <w:rFonts w:asciiTheme="majorBidi" w:hAnsiTheme="majorBidi" w:cstheme="majorBidi"/>
          <w:sz w:val="28"/>
          <w:szCs w:val="28"/>
        </w:rPr>
      </w:pPr>
      <w:r w:rsidRPr="00945855">
        <w:rPr>
          <w:rFonts w:asciiTheme="majorBidi" w:hAnsiTheme="majorBidi" w:cstheme="majorBidi"/>
          <w:b/>
          <w:bCs/>
          <w:sz w:val="28"/>
          <w:szCs w:val="28"/>
        </w:rPr>
        <w:t>Figure </w:t>
      </w:r>
      <w:r>
        <w:rPr>
          <w:rFonts w:asciiTheme="majorBidi" w:hAnsiTheme="majorBidi" w:cstheme="majorBidi"/>
          <w:b/>
          <w:bCs/>
          <w:sz w:val="28"/>
          <w:szCs w:val="28"/>
        </w:rPr>
        <w:t xml:space="preserve">18 </w:t>
      </w:r>
      <w:r w:rsidRPr="00945855">
        <w:rPr>
          <w:rFonts w:asciiTheme="majorBidi" w:hAnsiTheme="majorBidi" w:cstheme="majorBidi"/>
          <w:b/>
          <w:bCs/>
          <w:sz w:val="28"/>
          <w:szCs w:val="28"/>
        </w:rPr>
        <w:t>:</w:t>
      </w:r>
      <w:r>
        <w:rPr>
          <w:rFonts w:asciiTheme="majorBidi" w:hAnsiTheme="majorBidi" w:cstheme="majorBidi"/>
          <w:sz w:val="28"/>
          <w:szCs w:val="28"/>
        </w:rPr>
        <w:t xml:space="preserve"> Tableau différentiel</w:t>
      </w:r>
    </w:p>
    <w:p w:rsidR="00370CAC" w:rsidRDefault="00370CAC" w:rsidP="00370CAC">
      <w:pPr>
        <w:rPr>
          <w:rFonts w:asciiTheme="majorBidi" w:hAnsiTheme="majorBidi" w:cstheme="majorBidi"/>
          <w:b/>
          <w:bCs/>
          <w:sz w:val="28"/>
          <w:szCs w:val="28"/>
        </w:rPr>
      </w:pPr>
      <w:r w:rsidRPr="0068151C">
        <w:rPr>
          <w:rFonts w:asciiTheme="majorBidi" w:hAnsiTheme="majorBidi" w:cstheme="majorBidi"/>
          <w:b/>
          <w:bCs/>
          <w:sz w:val="28"/>
          <w:szCs w:val="28"/>
        </w:rPr>
        <w:t xml:space="preserve">      </w:t>
      </w:r>
    </w:p>
    <w:p w:rsidR="00370CAC" w:rsidRDefault="00370CAC" w:rsidP="00370CAC">
      <w:pPr>
        <w:rPr>
          <w:rFonts w:asciiTheme="majorBidi" w:hAnsiTheme="majorBidi" w:cstheme="majorBidi"/>
          <w:b/>
          <w:bCs/>
          <w:sz w:val="28"/>
          <w:szCs w:val="28"/>
        </w:rPr>
      </w:pPr>
      <w:r w:rsidRPr="0068151C">
        <w:rPr>
          <w:rFonts w:asciiTheme="majorBidi" w:hAnsiTheme="majorBidi" w:cstheme="majorBidi"/>
          <w:b/>
          <w:bCs/>
          <w:sz w:val="28"/>
          <w:szCs w:val="28"/>
        </w:rPr>
        <w:t xml:space="preserve"> </w:t>
      </w:r>
      <w:r>
        <w:rPr>
          <w:rFonts w:asciiTheme="majorBidi" w:hAnsiTheme="majorBidi" w:cstheme="majorBidi"/>
          <w:b/>
          <w:bCs/>
          <w:sz w:val="28"/>
          <w:szCs w:val="28"/>
        </w:rPr>
        <w:t>d.</w:t>
      </w:r>
      <w:r w:rsidRPr="0068151C">
        <w:rPr>
          <w:rFonts w:asciiTheme="majorBidi" w:hAnsiTheme="majorBidi" w:cstheme="majorBidi"/>
          <w:b/>
          <w:bCs/>
          <w:sz w:val="28"/>
          <w:szCs w:val="28"/>
        </w:rPr>
        <w:t xml:space="preserve">  Identification des associations végétales </w:t>
      </w:r>
    </w:p>
    <w:p w:rsidR="00370CAC" w:rsidRDefault="00370CAC" w:rsidP="00370CAC">
      <w:pPr>
        <w:rPr>
          <w:rFonts w:asciiTheme="majorBidi" w:hAnsiTheme="majorBidi" w:cstheme="majorBidi"/>
          <w:sz w:val="28"/>
          <w:szCs w:val="28"/>
        </w:rPr>
      </w:pPr>
      <w:r w:rsidRPr="0068151C">
        <w:rPr>
          <w:rFonts w:asciiTheme="majorBidi" w:hAnsiTheme="majorBidi" w:cstheme="majorBidi"/>
          <w:b/>
          <w:bCs/>
          <w:sz w:val="28"/>
          <w:szCs w:val="28"/>
        </w:rPr>
        <w:t xml:space="preserve"> </w:t>
      </w:r>
      <w:r w:rsidRPr="0068151C">
        <w:rPr>
          <w:rFonts w:asciiTheme="majorBidi" w:hAnsiTheme="majorBidi" w:cstheme="majorBidi"/>
          <w:sz w:val="28"/>
          <w:szCs w:val="28"/>
        </w:rPr>
        <w:t xml:space="preserve">Une association végétale est décrite en fonction :  </w:t>
      </w:r>
    </w:p>
    <w:p w:rsidR="00370CAC" w:rsidRPr="0068151C" w:rsidRDefault="00370CAC" w:rsidP="00370CAC">
      <w:pPr>
        <w:numPr>
          <w:ilvl w:val="0"/>
          <w:numId w:val="4"/>
        </w:numPr>
        <w:rPr>
          <w:rFonts w:asciiTheme="majorBidi" w:hAnsiTheme="majorBidi" w:cstheme="majorBidi"/>
          <w:sz w:val="28"/>
          <w:szCs w:val="28"/>
        </w:rPr>
      </w:pPr>
      <w:r w:rsidRPr="0068151C">
        <w:rPr>
          <w:rFonts w:asciiTheme="majorBidi" w:hAnsiTheme="majorBidi" w:cstheme="majorBidi"/>
          <w:b/>
          <w:bCs/>
          <w:sz w:val="28"/>
          <w:szCs w:val="28"/>
        </w:rPr>
        <w:t>Les espèces caractéristiques</w:t>
      </w:r>
    </w:p>
    <w:p w:rsidR="00370CAC" w:rsidRPr="0068151C" w:rsidRDefault="00370CAC" w:rsidP="00370CAC">
      <w:pPr>
        <w:jc w:val="both"/>
        <w:rPr>
          <w:rFonts w:asciiTheme="majorBidi" w:hAnsiTheme="majorBidi" w:cstheme="majorBidi"/>
          <w:sz w:val="28"/>
          <w:szCs w:val="28"/>
        </w:rPr>
      </w:pPr>
      <w:r w:rsidRPr="0068151C">
        <w:rPr>
          <w:rFonts w:asciiTheme="majorBidi" w:hAnsiTheme="majorBidi" w:cstheme="majorBidi"/>
          <w:sz w:val="28"/>
          <w:szCs w:val="28"/>
        </w:rPr>
        <w:t>Les espèces strictement liées à un seul groupement ou qui y croissent avec une vitalité optimale, sont appelées espèces </w:t>
      </w:r>
      <w:r w:rsidRPr="0068151C">
        <w:rPr>
          <w:rFonts w:asciiTheme="majorBidi" w:hAnsiTheme="majorBidi" w:cstheme="majorBidi"/>
          <w:b/>
          <w:bCs/>
          <w:sz w:val="28"/>
          <w:szCs w:val="28"/>
        </w:rPr>
        <w:t>caractéristiques</w:t>
      </w:r>
      <w:r w:rsidRPr="0068151C">
        <w:rPr>
          <w:rFonts w:asciiTheme="majorBidi" w:hAnsiTheme="majorBidi" w:cstheme="majorBidi"/>
          <w:sz w:val="28"/>
          <w:szCs w:val="28"/>
        </w:rPr>
        <w:t xml:space="preserve"> de ce groupement (exclusives ou préférentielles). Elles sont représentées, avec des coefficients d’abondance variables, dans plus de 80 % des relevés. </w:t>
      </w:r>
    </w:p>
    <w:p w:rsidR="00370CAC" w:rsidRPr="0068151C" w:rsidRDefault="00370CAC" w:rsidP="00370CAC">
      <w:pPr>
        <w:numPr>
          <w:ilvl w:val="0"/>
          <w:numId w:val="5"/>
        </w:numPr>
        <w:jc w:val="both"/>
        <w:rPr>
          <w:rFonts w:asciiTheme="majorBidi" w:hAnsiTheme="majorBidi" w:cstheme="majorBidi"/>
          <w:sz w:val="28"/>
          <w:szCs w:val="28"/>
        </w:rPr>
      </w:pPr>
      <w:r w:rsidRPr="0068151C">
        <w:rPr>
          <w:rFonts w:asciiTheme="majorBidi" w:hAnsiTheme="majorBidi" w:cstheme="majorBidi"/>
          <w:b/>
          <w:bCs/>
          <w:sz w:val="28"/>
          <w:szCs w:val="28"/>
        </w:rPr>
        <w:t>Les espèces différentielles</w:t>
      </w:r>
    </w:p>
    <w:p w:rsidR="00370CAC" w:rsidRPr="0068151C" w:rsidRDefault="00370CAC" w:rsidP="00370CAC">
      <w:pPr>
        <w:jc w:val="both"/>
        <w:rPr>
          <w:rFonts w:asciiTheme="majorBidi" w:hAnsiTheme="majorBidi" w:cstheme="majorBidi"/>
          <w:sz w:val="28"/>
          <w:szCs w:val="28"/>
        </w:rPr>
      </w:pPr>
      <w:r w:rsidRPr="0068151C">
        <w:rPr>
          <w:rFonts w:asciiTheme="majorBidi" w:hAnsiTheme="majorBidi" w:cstheme="majorBidi"/>
          <w:sz w:val="28"/>
          <w:szCs w:val="28"/>
        </w:rPr>
        <w:t>Ce sont des plantes présentes dans plusieurs groupements mais qui manquent dans d’autres.</w:t>
      </w:r>
    </w:p>
    <w:p w:rsidR="00370CAC" w:rsidRPr="0068151C" w:rsidRDefault="00370CAC" w:rsidP="00370CAC">
      <w:pPr>
        <w:numPr>
          <w:ilvl w:val="0"/>
          <w:numId w:val="6"/>
        </w:numPr>
        <w:jc w:val="both"/>
        <w:rPr>
          <w:rFonts w:asciiTheme="majorBidi" w:hAnsiTheme="majorBidi" w:cstheme="majorBidi"/>
          <w:sz w:val="28"/>
          <w:szCs w:val="28"/>
        </w:rPr>
      </w:pPr>
      <w:r w:rsidRPr="0068151C">
        <w:rPr>
          <w:rFonts w:asciiTheme="majorBidi" w:hAnsiTheme="majorBidi" w:cstheme="majorBidi"/>
          <w:b/>
          <w:bCs/>
          <w:sz w:val="28"/>
          <w:szCs w:val="28"/>
        </w:rPr>
        <w:t>Les espèces indifférentes</w:t>
      </w:r>
    </w:p>
    <w:p w:rsidR="00370CAC" w:rsidRDefault="00370CAC" w:rsidP="00370CAC">
      <w:pPr>
        <w:tabs>
          <w:tab w:val="num" w:pos="720"/>
        </w:tabs>
        <w:jc w:val="both"/>
        <w:rPr>
          <w:rFonts w:asciiTheme="majorBidi" w:hAnsiTheme="majorBidi" w:cstheme="majorBidi"/>
          <w:b/>
          <w:bCs/>
          <w:sz w:val="28"/>
          <w:szCs w:val="28"/>
        </w:rPr>
      </w:pPr>
      <w:r w:rsidRPr="0068151C">
        <w:rPr>
          <w:rFonts w:asciiTheme="majorBidi" w:hAnsiTheme="majorBidi" w:cstheme="majorBidi"/>
          <w:sz w:val="28"/>
          <w:szCs w:val="28"/>
        </w:rPr>
        <w:t>Certaines plantes apparaissent dans les groupements végétaux les plus variés. Elles ne présentent aucune fidélité à un groupement végétal déterminé et peuvent être qualifiées d’espèces </w:t>
      </w:r>
      <w:r w:rsidRPr="0068151C">
        <w:rPr>
          <w:rFonts w:asciiTheme="majorBidi" w:hAnsiTheme="majorBidi" w:cstheme="majorBidi"/>
          <w:b/>
          <w:bCs/>
          <w:sz w:val="28"/>
          <w:szCs w:val="28"/>
        </w:rPr>
        <w:t>indifférentes</w:t>
      </w:r>
      <w:r w:rsidRPr="0009691B">
        <w:rPr>
          <w:rFonts w:asciiTheme="majorBidi" w:hAnsiTheme="majorBidi" w:cstheme="majorBidi"/>
          <w:sz w:val="28"/>
          <w:szCs w:val="28"/>
        </w:rPr>
        <w:t>.</w:t>
      </w:r>
    </w:p>
    <w:p w:rsidR="00370CAC" w:rsidRPr="0068151C" w:rsidRDefault="00370CAC" w:rsidP="00370CAC">
      <w:pPr>
        <w:pStyle w:val="Paragraphedeliste"/>
        <w:numPr>
          <w:ilvl w:val="0"/>
          <w:numId w:val="7"/>
        </w:numPr>
        <w:tabs>
          <w:tab w:val="num" w:pos="720"/>
        </w:tabs>
        <w:jc w:val="both"/>
        <w:rPr>
          <w:rFonts w:asciiTheme="majorBidi" w:hAnsiTheme="majorBidi" w:cstheme="majorBidi"/>
          <w:sz w:val="28"/>
          <w:szCs w:val="28"/>
        </w:rPr>
      </w:pPr>
      <w:r w:rsidRPr="0068151C">
        <w:rPr>
          <w:rFonts w:asciiTheme="majorBidi" w:hAnsiTheme="majorBidi" w:cstheme="majorBidi"/>
          <w:b/>
          <w:bCs/>
          <w:sz w:val="28"/>
          <w:szCs w:val="28"/>
        </w:rPr>
        <w:t>Les espèces accidentelles </w:t>
      </w:r>
    </w:p>
    <w:p w:rsidR="00370CAC" w:rsidRDefault="00370CAC" w:rsidP="00370CAC">
      <w:pPr>
        <w:jc w:val="both"/>
        <w:rPr>
          <w:rFonts w:asciiTheme="majorBidi" w:hAnsiTheme="majorBidi" w:cstheme="majorBidi"/>
          <w:sz w:val="28"/>
          <w:szCs w:val="28"/>
        </w:rPr>
      </w:pPr>
      <w:r w:rsidRPr="0068151C">
        <w:rPr>
          <w:rFonts w:asciiTheme="majorBidi" w:hAnsiTheme="majorBidi" w:cstheme="majorBidi"/>
          <w:sz w:val="28"/>
          <w:szCs w:val="28"/>
        </w:rPr>
        <w:t>Une espèce étrangère ou accidentelle est une plante dont la présence au sein du groupement est fortuite. Sa vitalité est souvent réduite et elle sera probablement rapidement éliminée sans laisser de descendance.</w:t>
      </w:r>
    </w:p>
    <w:p w:rsidR="00370CAC" w:rsidRPr="00604AA1" w:rsidRDefault="00370CAC" w:rsidP="00370CAC">
      <w:pPr>
        <w:jc w:val="both"/>
        <w:rPr>
          <w:rFonts w:asciiTheme="majorBidi" w:hAnsiTheme="majorBidi" w:cstheme="majorBidi"/>
          <w:b/>
          <w:bCs/>
          <w:sz w:val="28"/>
          <w:szCs w:val="28"/>
        </w:rPr>
      </w:pPr>
      <w:r w:rsidRPr="00604AA1">
        <w:rPr>
          <w:rFonts w:asciiTheme="majorBidi" w:hAnsiTheme="majorBidi" w:cstheme="majorBidi"/>
          <w:b/>
          <w:bCs/>
          <w:sz w:val="28"/>
          <w:szCs w:val="28"/>
        </w:rPr>
        <w:t xml:space="preserve">e. Hiérarchisation </w:t>
      </w:r>
    </w:p>
    <w:p w:rsidR="00370CAC" w:rsidRPr="00604AA1" w:rsidRDefault="00370CAC" w:rsidP="00370CAC">
      <w:pPr>
        <w:jc w:val="both"/>
        <w:rPr>
          <w:rFonts w:asciiTheme="majorBidi" w:hAnsiTheme="majorBidi" w:cstheme="majorBidi"/>
          <w:sz w:val="28"/>
          <w:szCs w:val="28"/>
        </w:rPr>
      </w:pPr>
      <w:r w:rsidRPr="00604AA1">
        <w:rPr>
          <w:rFonts w:asciiTheme="majorBidi" w:hAnsiTheme="majorBidi" w:cstheme="majorBidi"/>
          <w:sz w:val="28"/>
          <w:szCs w:val="28"/>
        </w:rPr>
        <w:t xml:space="preserve">    On distingue : </w:t>
      </w:r>
    </w:p>
    <w:p w:rsidR="00370CAC" w:rsidRPr="00604AA1" w:rsidRDefault="00370CAC" w:rsidP="00370CAC">
      <w:pPr>
        <w:jc w:val="both"/>
        <w:rPr>
          <w:rFonts w:asciiTheme="majorBidi" w:hAnsiTheme="majorBidi" w:cstheme="majorBidi"/>
          <w:sz w:val="28"/>
          <w:szCs w:val="28"/>
        </w:rPr>
      </w:pPr>
      <w:r w:rsidRPr="00604AA1">
        <w:rPr>
          <w:rFonts w:asciiTheme="majorBidi" w:hAnsiTheme="majorBidi" w:cstheme="majorBidi"/>
          <w:sz w:val="28"/>
          <w:szCs w:val="28"/>
        </w:rPr>
        <w:t xml:space="preserve">  </w:t>
      </w:r>
      <w:r w:rsidRPr="00604AA1">
        <w:rPr>
          <w:rFonts w:asciiTheme="majorBidi" w:hAnsiTheme="majorBidi" w:cstheme="majorBidi"/>
          <w:b/>
          <w:bCs/>
          <w:sz w:val="28"/>
          <w:szCs w:val="28"/>
        </w:rPr>
        <w:t>a)  l'association</w:t>
      </w:r>
      <w:r>
        <w:rPr>
          <w:rFonts w:asciiTheme="majorBidi" w:hAnsiTheme="majorBidi" w:cstheme="majorBidi"/>
          <w:b/>
          <w:bCs/>
          <w:sz w:val="28"/>
          <w:szCs w:val="28"/>
        </w:rPr>
        <w:t xml:space="preserve"> </w:t>
      </w:r>
      <w:r w:rsidRPr="00604AA1">
        <w:rPr>
          <w:rFonts w:asciiTheme="majorBidi" w:hAnsiTheme="majorBidi" w:cstheme="majorBidi"/>
          <w:sz w:val="28"/>
          <w:szCs w:val="28"/>
        </w:rPr>
        <w:t>qui est la combinaison originale d'espèces dont certaines lui sont particulièrement liées, les autres étant qualifiées de compagnes.   Les compagnes sont soit des caractéristiques d'autres associations, soit des espèces participant avec sensiblement la même fréquence à plusieurs associations</w:t>
      </w:r>
      <w:r>
        <w:rPr>
          <w:rFonts w:asciiTheme="majorBidi" w:hAnsiTheme="majorBidi" w:cstheme="majorBidi"/>
          <w:sz w:val="28"/>
          <w:szCs w:val="28"/>
        </w:rPr>
        <w:t>.</w:t>
      </w:r>
      <w:r w:rsidRPr="00604AA1">
        <w:rPr>
          <w:rFonts w:asciiTheme="majorBidi" w:hAnsiTheme="majorBidi" w:cstheme="majorBidi"/>
          <w:sz w:val="28"/>
          <w:szCs w:val="28"/>
        </w:rPr>
        <w:t xml:space="preserve"> </w:t>
      </w:r>
    </w:p>
    <w:p w:rsidR="00370CAC" w:rsidRPr="00604AA1" w:rsidRDefault="00370CAC" w:rsidP="00370CAC">
      <w:pPr>
        <w:jc w:val="both"/>
        <w:rPr>
          <w:rFonts w:asciiTheme="majorBidi" w:hAnsiTheme="majorBidi" w:cstheme="majorBidi"/>
          <w:sz w:val="28"/>
          <w:szCs w:val="28"/>
        </w:rPr>
      </w:pPr>
      <w:r w:rsidRPr="002E4F10">
        <w:rPr>
          <w:rFonts w:asciiTheme="majorBidi" w:hAnsiTheme="majorBidi" w:cstheme="majorBidi"/>
          <w:b/>
          <w:bCs/>
          <w:sz w:val="28"/>
          <w:szCs w:val="28"/>
        </w:rPr>
        <w:t xml:space="preserve">  b)  l'alliance</w:t>
      </w:r>
      <w:r w:rsidRPr="00604AA1">
        <w:rPr>
          <w:rFonts w:asciiTheme="majorBidi" w:hAnsiTheme="majorBidi" w:cstheme="majorBidi"/>
          <w:sz w:val="28"/>
          <w:szCs w:val="28"/>
        </w:rPr>
        <w:t xml:space="preserve"> ensemble d'associations qui comprend des espèces </w:t>
      </w:r>
      <w:r>
        <w:rPr>
          <w:rFonts w:asciiTheme="majorBidi" w:hAnsiTheme="majorBidi" w:cstheme="majorBidi"/>
          <w:sz w:val="28"/>
          <w:szCs w:val="28"/>
        </w:rPr>
        <w:t>c</w:t>
      </w:r>
      <w:r w:rsidRPr="00604AA1">
        <w:rPr>
          <w:rFonts w:asciiTheme="majorBidi" w:hAnsiTheme="majorBidi" w:cstheme="majorBidi"/>
          <w:sz w:val="28"/>
          <w:szCs w:val="28"/>
        </w:rPr>
        <w:t>aractéristique communes et des compagnes</w:t>
      </w:r>
      <w:r>
        <w:rPr>
          <w:rFonts w:asciiTheme="majorBidi" w:hAnsiTheme="majorBidi" w:cstheme="majorBidi"/>
          <w:sz w:val="28"/>
          <w:szCs w:val="28"/>
        </w:rPr>
        <w:t>.</w:t>
      </w:r>
      <w:r w:rsidRPr="00604AA1">
        <w:rPr>
          <w:rFonts w:asciiTheme="majorBidi" w:hAnsiTheme="majorBidi" w:cstheme="majorBidi"/>
          <w:sz w:val="28"/>
          <w:szCs w:val="28"/>
        </w:rPr>
        <w:t xml:space="preserve"> </w:t>
      </w:r>
    </w:p>
    <w:p w:rsidR="00370CAC" w:rsidRPr="00604AA1" w:rsidRDefault="00370CAC" w:rsidP="00370CAC">
      <w:pPr>
        <w:jc w:val="both"/>
        <w:rPr>
          <w:rFonts w:asciiTheme="majorBidi" w:hAnsiTheme="majorBidi" w:cstheme="majorBidi"/>
          <w:sz w:val="28"/>
          <w:szCs w:val="28"/>
        </w:rPr>
      </w:pPr>
      <w:r w:rsidRPr="00604AA1">
        <w:rPr>
          <w:rFonts w:asciiTheme="majorBidi" w:hAnsiTheme="majorBidi" w:cstheme="majorBidi"/>
          <w:sz w:val="28"/>
          <w:szCs w:val="28"/>
        </w:rPr>
        <w:t xml:space="preserve">  </w:t>
      </w:r>
      <w:r w:rsidRPr="002E4F10">
        <w:rPr>
          <w:rFonts w:asciiTheme="majorBidi" w:hAnsiTheme="majorBidi" w:cstheme="majorBidi"/>
          <w:b/>
          <w:bCs/>
          <w:sz w:val="28"/>
          <w:szCs w:val="28"/>
        </w:rPr>
        <w:t>c) L'ordre</w:t>
      </w:r>
      <w:r w:rsidRPr="00604AA1">
        <w:rPr>
          <w:rFonts w:asciiTheme="majorBidi" w:hAnsiTheme="majorBidi" w:cstheme="majorBidi"/>
          <w:sz w:val="28"/>
          <w:szCs w:val="28"/>
        </w:rPr>
        <w:t xml:space="preserve"> qui groupe des alliances et qui comprend des espèces caractéristiques d’ordre</w:t>
      </w:r>
      <w:r>
        <w:rPr>
          <w:rFonts w:asciiTheme="majorBidi" w:hAnsiTheme="majorBidi" w:cstheme="majorBidi"/>
          <w:sz w:val="28"/>
          <w:szCs w:val="28"/>
        </w:rPr>
        <w:t>.</w:t>
      </w:r>
      <w:r w:rsidRPr="00604AA1">
        <w:rPr>
          <w:rFonts w:asciiTheme="majorBidi" w:hAnsiTheme="majorBidi" w:cstheme="majorBidi"/>
          <w:sz w:val="28"/>
          <w:szCs w:val="28"/>
        </w:rPr>
        <w:t xml:space="preserve"> </w:t>
      </w:r>
    </w:p>
    <w:p w:rsidR="00370CAC" w:rsidRDefault="00370CAC" w:rsidP="00370CAC">
      <w:pPr>
        <w:jc w:val="both"/>
        <w:rPr>
          <w:rFonts w:asciiTheme="majorBidi" w:hAnsiTheme="majorBidi" w:cstheme="majorBidi"/>
          <w:sz w:val="28"/>
          <w:szCs w:val="28"/>
        </w:rPr>
      </w:pPr>
      <w:r w:rsidRPr="00604AA1">
        <w:rPr>
          <w:rFonts w:asciiTheme="majorBidi" w:hAnsiTheme="majorBidi" w:cstheme="majorBidi"/>
          <w:sz w:val="28"/>
          <w:szCs w:val="28"/>
        </w:rPr>
        <w:t xml:space="preserve">  </w:t>
      </w:r>
      <w:r w:rsidRPr="002E4F10">
        <w:rPr>
          <w:rFonts w:asciiTheme="majorBidi" w:hAnsiTheme="majorBidi" w:cstheme="majorBidi"/>
          <w:b/>
          <w:bCs/>
          <w:sz w:val="28"/>
          <w:szCs w:val="28"/>
        </w:rPr>
        <w:t>d) La classe</w:t>
      </w:r>
      <w:r w:rsidRPr="00604AA1">
        <w:rPr>
          <w:rFonts w:asciiTheme="majorBidi" w:hAnsiTheme="majorBidi" w:cstheme="majorBidi"/>
          <w:sz w:val="28"/>
          <w:szCs w:val="28"/>
        </w:rPr>
        <w:t xml:space="preserve"> qui regroupe des ordres floristiquement voisins et comprend des espèces caractéristiques de classe. </w:t>
      </w:r>
    </w:p>
    <w:p w:rsidR="00370CAC" w:rsidRPr="002E4F10" w:rsidRDefault="00370CAC" w:rsidP="00370CAC">
      <w:pPr>
        <w:jc w:val="both"/>
        <w:rPr>
          <w:rFonts w:asciiTheme="majorBidi" w:hAnsiTheme="majorBidi" w:cstheme="majorBidi"/>
          <w:b/>
          <w:bCs/>
          <w:sz w:val="28"/>
          <w:szCs w:val="28"/>
        </w:rPr>
      </w:pPr>
      <w:r w:rsidRPr="002E4F10">
        <w:rPr>
          <w:rFonts w:asciiTheme="majorBidi" w:hAnsiTheme="majorBidi" w:cstheme="majorBidi"/>
          <w:b/>
          <w:bCs/>
          <w:sz w:val="28"/>
          <w:szCs w:val="28"/>
        </w:rPr>
        <w:t>III.1.1.2. Nomenclature phytosociologique</w:t>
      </w:r>
    </w:p>
    <w:p w:rsidR="00370CAC" w:rsidRPr="002E4F10" w:rsidRDefault="00370CAC" w:rsidP="00370CAC">
      <w:pPr>
        <w:jc w:val="both"/>
        <w:rPr>
          <w:rFonts w:asciiTheme="majorBidi" w:hAnsiTheme="majorBidi" w:cstheme="majorBidi"/>
          <w:sz w:val="28"/>
          <w:szCs w:val="28"/>
        </w:rPr>
      </w:pPr>
      <w:r w:rsidRPr="002E4F10">
        <w:rPr>
          <w:rFonts w:asciiTheme="majorBidi" w:hAnsiTheme="majorBidi" w:cstheme="majorBidi"/>
          <w:sz w:val="28"/>
          <w:szCs w:val="28"/>
        </w:rPr>
        <w:t xml:space="preserve">  La dénomination d'une association végétale est formée à partir du nom d'une ou de deux espèces (caractéristique ou dominante). </w:t>
      </w:r>
    </w:p>
    <w:p w:rsidR="00370CAC" w:rsidRPr="002E4F10" w:rsidRDefault="00370CAC" w:rsidP="00370CAC">
      <w:pPr>
        <w:jc w:val="both"/>
        <w:rPr>
          <w:rFonts w:asciiTheme="majorBidi" w:hAnsiTheme="majorBidi" w:cstheme="majorBidi"/>
          <w:sz w:val="28"/>
          <w:szCs w:val="28"/>
        </w:rPr>
      </w:pPr>
      <w:r w:rsidRPr="002E4F10">
        <w:rPr>
          <w:rFonts w:asciiTheme="majorBidi" w:hAnsiTheme="majorBidi" w:cstheme="majorBidi"/>
          <w:sz w:val="28"/>
          <w:szCs w:val="28"/>
        </w:rPr>
        <w:t xml:space="preserve">  Quand on a une seule espèce, on ajoute à la racine du nom du genre le suffixe </w:t>
      </w:r>
      <w:r w:rsidRPr="002E4F10">
        <w:rPr>
          <w:rFonts w:asciiTheme="majorBidi" w:hAnsiTheme="majorBidi" w:cstheme="majorBidi"/>
          <w:b/>
          <w:bCs/>
          <w:sz w:val="28"/>
          <w:szCs w:val="28"/>
        </w:rPr>
        <w:t>etum</w:t>
      </w:r>
      <w:r w:rsidRPr="002E4F10">
        <w:rPr>
          <w:rFonts w:asciiTheme="majorBidi" w:hAnsiTheme="majorBidi" w:cstheme="majorBidi"/>
          <w:sz w:val="28"/>
          <w:szCs w:val="28"/>
        </w:rPr>
        <w:t xml:space="preserve">. Ex : </w:t>
      </w:r>
      <w:r w:rsidRPr="002E4F10">
        <w:rPr>
          <w:rFonts w:asciiTheme="majorBidi" w:hAnsiTheme="majorBidi" w:cstheme="majorBidi"/>
          <w:i/>
          <w:iCs/>
          <w:sz w:val="28"/>
          <w:szCs w:val="28"/>
        </w:rPr>
        <w:t>Quercetum illicis</w:t>
      </w:r>
      <w:r w:rsidRPr="002E4F10">
        <w:rPr>
          <w:rFonts w:asciiTheme="majorBidi" w:hAnsiTheme="majorBidi" w:cstheme="majorBidi"/>
          <w:sz w:val="28"/>
          <w:szCs w:val="28"/>
        </w:rPr>
        <w:t xml:space="preserve"> </w:t>
      </w:r>
    </w:p>
    <w:p w:rsidR="00370CAC" w:rsidRPr="002E4F10" w:rsidRDefault="00370CAC" w:rsidP="00370CAC">
      <w:pPr>
        <w:jc w:val="both"/>
        <w:rPr>
          <w:rFonts w:asciiTheme="majorBidi" w:hAnsiTheme="majorBidi" w:cstheme="majorBidi"/>
          <w:i/>
          <w:iCs/>
          <w:sz w:val="28"/>
          <w:szCs w:val="28"/>
        </w:rPr>
      </w:pPr>
      <w:r w:rsidRPr="002E4F10">
        <w:rPr>
          <w:rFonts w:asciiTheme="majorBidi" w:hAnsiTheme="majorBidi" w:cstheme="majorBidi"/>
          <w:sz w:val="28"/>
          <w:szCs w:val="28"/>
        </w:rPr>
        <w:t xml:space="preserve">  Quand on a deux espèces, le suffixe ajouté à la racine du nom de genre de la première est </w:t>
      </w:r>
      <w:r w:rsidRPr="002E4F10">
        <w:rPr>
          <w:rFonts w:asciiTheme="majorBidi" w:hAnsiTheme="majorBidi" w:cstheme="majorBidi"/>
          <w:b/>
          <w:bCs/>
          <w:sz w:val="28"/>
          <w:szCs w:val="28"/>
        </w:rPr>
        <w:t>eto</w:t>
      </w:r>
      <w:r w:rsidRPr="002E4F10">
        <w:rPr>
          <w:rFonts w:asciiTheme="majorBidi" w:hAnsiTheme="majorBidi" w:cstheme="majorBidi"/>
          <w:sz w:val="28"/>
          <w:szCs w:val="28"/>
        </w:rPr>
        <w:t xml:space="preserve"> et ce mot est réuni par un trait d'union au suivant. Ex: </w:t>
      </w:r>
      <w:r w:rsidRPr="002E4F10">
        <w:rPr>
          <w:rFonts w:asciiTheme="majorBidi" w:hAnsiTheme="majorBidi" w:cstheme="majorBidi"/>
          <w:i/>
          <w:iCs/>
          <w:sz w:val="28"/>
          <w:szCs w:val="28"/>
        </w:rPr>
        <w:t xml:space="preserve">Ericeto-lavanduletum stoechidis. </w:t>
      </w:r>
    </w:p>
    <w:p w:rsidR="00370CAC" w:rsidRDefault="00370CAC" w:rsidP="00370CAC">
      <w:pPr>
        <w:jc w:val="both"/>
        <w:rPr>
          <w:rFonts w:asciiTheme="majorBidi" w:hAnsiTheme="majorBidi" w:cstheme="majorBidi"/>
          <w:i/>
          <w:iCs/>
          <w:sz w:val="28"/>
          <w:szCs w:val="28"/>
        </w:rPr>
      </w:pPr>
      <w:r w:rsidRPr="002E4F10">
        <w:rPr>
          <w:rFonts w:asciiTheme="majorBidi" w:hAnsiTheme="majorBidi" w:cstheme="majorBidi"/>
          <w:sz w:val="28"/>
          <w:szCs w:val="28"/>
        </w:rPr>
        <w:t xml:space="preserve">  Les noms des alliances, des ordres et des classes sont formés de la même manière que ceux des associations, mais en remplaçant le suffixe </w:t>
      </w:r>
      <w:r w:rsidRPr="002E4F10">
        <w:rPr>
          <w:rFonts w:asciiTheme="majorBidi" w:hAnsiTheme="majorBidi" w:cstheme="majorBidi"/>
          <w:b/>
          <w:bCs/>
          <w:sz w:val="28"/>
          <w:szCs w:val="28"/>
        </w:rPr>
        <w:t>etum</w:t>
      </w:r>
      <w:r w:rsidRPr="002E4F10">
        <w:rPr>
          <w:rFonts w:asciiTheme="majorBidi" w:hAnsiTheme="majorBidi" w:cstheme="majorBidi"/>
          <w:sz w:val="28"/>
          <w:szCs w:val="28"/>
        </w:rPr>
        <w:t xml:space="preserve"> par respectivement, </w:t>
      </w:r>
      <w:r w:rsidRPr="002E4F10">
        <w:rPr>
          <w:rFonts w:asciiTheme="majorBidi" w:hAnsiTheme="majorBidi" w:cstheme="majorBidi"/>
          <w:b/>
          <w:bCs/>
          <w:sz w:val="28"/>
          <w:szCs w:val="28"/>
        </w:rPr>
        <w:t>ion</w:t>
      </w:r>
      <w:r w:rsidRPr="002E4F10">
        <w:rPr>
          <w:rFonts w:asciiTheme="majorBidi" w:hAnsiTheme="majorBidi" w:cstheme="majorBidi"/>
          <w:sz w:val="28"/>
          <w:szCs w:val="28"/>
        </w:rPr>
        <w:t xml:space="preserve">, </w:t>
      </w:r>
      <w:r w:rsidRPr="002E4F10">
        <w:rPr>
          <w:rFonts w:asciiTheme="majorBidi" w:hAnsiTheme="majorBidi" w:cstheme="majorBidi"/>
          <w:b/>
          <w:bCs/>
          <w:sz w:val="28"/>
          <w:szCs w:val="28"/>
        </w:rPr>
        <w:t>étalia</w:t>
      </w:r>
      <w:r w:rsidRPr="002E4F10">
        <w:rPr>
          <w:rFonts w:asciiTheme="majorBidi" w:hAnsiTheme="majorBidi" w:cstheme="majorBidi"/>
          <w:sz w:val="28"/>
          <w:szCs w:val="28"/>
        </w:rPr>
        <w:t xml:space="preserve">, </w:t>
      </w:r>
      <w:r w:rsidRPr="002E4F10">
        <w:rPr>
          <w:rFonts w:asciiTheme="majorBidi" w:hAnsiTheme="majorBidi" w:cstheme="majorBidi"/>
          <w:b/>
          <w:bCs/>
          <w:sz w:val="28"/>
          <w:szCs w:val="28"/>
        </w:rPr>
        <w:t>etea</w:t>
      </w:r>
      <w:r w:rsidRPr="002E4F10">
        <w:rPr>
          <w:rFonts w:asciiTheme="majorBidi" w:hAnsiTheme="majorBidi" w:cstheme="majorBidi"/>
          <w:sz w:val="28"/>
          <w:szCs w:val="28"/>
        </w:rPr>
        <w:t xml:space="preserve">. Ex : </w:t>
      </w:r>
      <w:r w:rsidRPr="002E4F10">
        <w:rPr>
          <w:rFonts w:asciiTheme="majorBidi" w:hAnsiTheme="majorBidi" w:cstheme="majorBidi"/>
          <w:i/>
          <w:iCs/>
          <w:sz w:val="28"/>
          <w:szCs w:val="28"/>
        </w:rPr>
        <w:t>Quercion illicis, Quercetalia illicis, Quercetea illicis.</w:t>
      </w:r>
    </w:p>
    <w:p w:rsidR="00370CAC" w:rsidRDefault="00370CAC" w:rsidP="00370CAC">
      <w:pPr>
        <w:jc w:val="both"/>
        <w:rPr>
          <w:rFonts w:asciiTheme="majorBidi" w:hAnsiTheme="majorBidi" w:cstheme="majorBidi"/>
          <w:b/>
          <w:bCs/>
          <w:sz w:val="28"/>
          <w:szCs w:val="28"/>
        </w:rPr>
      </w:pPr>
      <w:r w:rsidRPr="00E005B6">
        <w:rPr>
          <w:rFonts w:asciiTheme="majorBidi" w:hAnsiTheme="majorBidi" w:cstheme="majorBidi"/>
          <w:b/>
          <w:bCs/>
          <w:sz w:val="28"/>
          <w:szCs w:val="28"/>
        </w:rPr>
        <w:t>III.1.2. Méthodes floristique statistiques</w:t>
      </w:r>
    </w:p>
    <w:p w:rsidR="00370CAC" w:rsidRPr="00BA15A6"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Actuellement, l’utilisation de tableurs permettant de modifier à volonté les lignes et les colonnes débouche sur un gain de temps appréciable. Des techniques plus poussées permettent l’analyse complète des résultats. Plusieurs logiciels permettent à présent de nombreuses analyses</w:t>
      </w:r>
      <w:r>
        <w:rPr>
          <w:rFonts w:asciiTheme="majorBidi" w:hAnsiTheme="majorBidi" w:cstheme="majorBidi"/>
          <w:sz w:val="28"/>
          <w:szCs w:val="28"/>
        </w:rPr>
        <w:t>.</w:t>
      </w:r>
    </w:p>
    <w:p w:rsidR="00370CAC"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 xml:space="preserve">Deux méthodes complémentaires se sont développées. </w:t>
      </w:r>
      <w:r w:rsidRPr="00D81A10">
        <w:rPr>
          <w:rFonts w:asciiTheme="majorBidi" w:hAnsiTheme="majorBidi" w:cstheme="majorBidi"/>
          <w:b/>
          <w:bCs/>
          <w:sz w:val="28"/>
          <w:szCs w:val="28"/>
        </w:rPr>
        <w:t>La</w:t>
      </w:r>
      <w:r w:rsidRPr="00BA15A6">
        <w:rPr>
          <w:rFonts w:asciiTheme="majorBidi" w:hAnsiTheme="majorBidi" w:cstheme="majorBidi"/>
          <w:sz w:val="28"/>
          <w:szCs w:val="28"/>
        </w:rPr>
        <w:t> </w:t>
      </w:r>
      <w:r w:rsidRPr="00BA15A6">
        <w:rPr>
          <w:rFonts w:asciiTheme="majorBidi" w:hAnsiTheme="majorBidi" w:cstheme="majorBidi"/>
          <w:b/>
          <w:bCs/>
          <w:sz w:val="28"/>
          <w:szCs w:val="28"/>
        </w:rPr>
        <w:t>classification</w:t>
      </w:r>
      <w:r w:rsidRPr="00BA15A6">
        <w:rPr>
          <w:rFonts w:asciiTheme="majorBidi" w:hAnsiTheme="majorBidi" w:cstheme="majorBidi"/>
          <w:sz w:val="28"/>
          <w:szCs w:val="28"/>
        </w:rPr>
        <w:t> ou </w:t>
      </w:r>
      <w:r w:rsidRPr="00BA15A6">
        <w:rPr>
          <w:rFonts w:asciiTheme="majorBidi" w:hAnsiTheme="majorBidi" w:cstheme="majorBidi"/>
          <w:b/>
          <w:bCs/>
          <w:sz w:val="28"/>
          <w:szCs w:val="28"/>
        </w:rPr>
        <w:t>groupement</w:t>
      </w:r>
      <w:r w:rsidRPr="00BA15A6">
        <w:rPr>
          <w:rFonts w:asciiTheme="majorBidi" w:hAnsiTheme="majorBidi" w:cstheme="majorBidi"/>
          <w:sz w:val="28"/>
          <w:szCs w:val="28"/>
        </w:rPr>
        <w:t> a pour but d’organiser les relevés en classes ou groupes. Les membres de chaque classe ont en commun un certain nombre de caractéristiques les écartant des membres des autres classes. </w:t>
      </w:r>
    </w:p>
    <w:p w:rsidR="00370CAC" w:rsidRPr="00BA15A6" w:rsidRDefault="00370CAC" w:rsidP="00370CAC">
      <w:pPr>
        <w:jc w:val="both"/>
        <w:rPr>
          <w:rFonts w:asciiTheme="majorBidi" w:hAnsiTheme="majorBidi" w:cstheme="majorBidi"/>
          <w:sz w:val="28"/>
          <w:szCs w:val="28"/>
        </w:rPr>
      </w:pPr>
      <w:r w:rsidRPr="00BA15A6">
        <w:rPr>
          <w:rFonts w:asciiTheme="majorBidi" w:hAnsiTheme="majorBidi" w:cstheme="majorBidi"/>
          <w:b/>
          <w:bCs/>
          <w:sz w:val="28"/>
          <w:szCs w:val="28"/>
        </w:rPr>
        <w:t>L’ordination</w:t>
      </w:r>
      <w:r w:rsidRPr="00BA15A6">
        <w:rPr>
          <w:rFonts w:asciiTheme="majorBidi" w:hAnsiTheme="majorBidi" w:cstheme="majorBidi"/>
          <w:sz w:val="28"/>
          <w:szCs w:val="28"/>
        </w:rPr>
        <w:t> arrange les relevés ou des espèces dans un espace défini par un petit nombre de dimensions, dans lequel les entités semblables sont proches et les dissemblables éloignées (Gauch, 1982). L’ordination, prise au sens large, se fixe trois objectifs :</w:t>
      </w:r>
    </w:p>
    <w:p w:rsidR="00370CAC" w:rsidRPr="00BA15A6"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(1) synthétiser les données d’un tableau de relevés,</w:t>
      </w:r>
    </w:p>
    <w:p w:rsidR="00370CAC" w:rsidRPr="00BA15A6"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(2) mettre les communautés en relation avec des gradients de l’environnement et</w:t>
      </w:r>
    </w:p>
    <w:p w:rsidR="00370CAC" w:rsidRPr="00BA15A6"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(3) comprendre la structure des communautés.</w:t>
      </w:r>
    </w:p>
    <w:p w:rsidR="00370CAC" w:rsidRPr="00BA15A6"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Au sens strict, l’ordination cherche à mettre la végétation en relation avec un ou plusieurs gradients environnementaux ou axes.</w:t>
      </w:r>
    </w:p>
    <w:p w:rsidR="00370CAC" w:rsidRPr="00BA15A6" w:rsidRDefault="00370CAC" w:rsidP="00370CAC">
      <w:pPr>
        <w:jc w:val="both"/>
        <w:rPr>
          <w:rFonts w:asciiTheme="majorBidi" w:hAnsiTheme="majorBidi" w:cstheme="majorBidi"/>
          <w:b/>
          <w:bCs/>
          <w:sz w:val="28"/>
          <w:szCs w:val="28"/>
        </w:rPr>
      </w:pPr>
      <w:r w:rsidRPr="00BA15A6">
        <w:rPr>
          <w:rFonts w:asciiTheme="majorBidi" w:hAnsiTheme="majorBidi" w:cstheme="majorBidi"/>
          <w:b/>
          <w:bCs/>
          <w:sz w:val="28"/>
          <w:szCs w:val="28"/>
        </w:rPr>
        <w:t>A. Mise en forme des données</w:t>
      </w:r>
    </w:p>
    <w:p w:rsidR="00370CAC" w:rsidRPr="00BA15A6"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Pour être analysées, les données doivent être présentées sous la forme de </w:t>
      </w:r>
      <w:r w:rsidRPr="00BA15A6">
        <w:rPr>
          <w:rFonts w:asciiTheme="majorBidi" w:hAnsiTheme="majorBidi" w:cstheme="majorBidi"/>
          <w:b/>
          <w:bCs/>
          <w:sz w:val="28"/>
          <w:szCs w:val="28"/>
        </w:rPr>
        <w:t>tableau</w:t>
      </w:r>
      <w:r w:rsidRPr="00BA15A6">
        <w:rPr>
          <w:rFonts w:asciiTheme="majorBidi" w:hAnsiTheme="majorBidi" w:cstheme="majorBidi"/>
          <w:sz w:val="28"/>
          <w:szCs w:val="28"/>
        </w:rPr>
        <w:t> croisant les </w:t>
      </w:r>
      <w:r w:rsidRPr="00BA15A6">
        <w:rPr>
          <w:rFonts w:asciiTheme="majorBidi" w:hAnsiTheme="majorBidi" w:cstheme="majorBidi"/>
          <w:b/>
          <w:bCs/>
          <w:sz w:val="28"/>
          <w:szCs w:val="28"/>
        </w:rPr>
        <w:t>espèces observées</w:t>
      </w:r>
      <w:r w:rsidRPr="00BA15A6">
        <w:rPr>
          <w:rFonts w:asciiTheme="majorBidi" w:hAnsiTheme="majorBidi" w:cstheme="majorBidi"/>
          <w:sz w:val="28"/>
          <w:szCs w:val="28"/>
        </w:rPr>
        <w:t> dans l’ensemble des </w:t>
      </w:r>
      <w:r w:rsidRPr="00BA15A6">
        <w:rPr>
          <w:rFonts w:asciiTheme="majorBidi" w:hAnsiTheme="majorBidi" w:cstheme="majorBidi"/>
          <w:b/>
          <w:bCs/>
          <w:sz w:val="28"/>
          <w:szCs w:val="28"/>
        </w:rPr>
        <w:t>stations</w:t>
      </w:r>
      <w:r w:rsidRPr="00BA15A6">
        <w:rPr>
          <w:rFonts w:asciiTheme="majorBidi" w:hAnsiTheme="majorBidi" w:cstheme="majorBidi"/>
          <w:sz w:val="28"/>
          <w:szCs w:val="28"/>
        </w:rPr>
        <w:t> ; les cellules du tableau contiennent les valeurs de dominance ou de recouvrement. Seules les données de recouvrement sont utilisées. Ce tableau de </w:t>
      </w:r>
      <w:r w:rsidRPr="00BA15A6">
        <w:rPr>
          <w:rFonts w:asciiTheme="majorBidi" w:hAnsiTheme="majorBidi" w:cstheme="majorBidi"/>
          <w:b/>
          <w:bCs/>
          <w:sz w:val="28"/>
          <w:szCs w:val="28"/>
        </w:rPr>
        <w:t>contingence</w:t>
      </w:r>
      <w:r w:rsidRPr="00BA15A6">
        <w:rPr>
          <w:rFonts w:asciiTheme="majorBidi" w:hAnsiTheme="majorBidi" w:cstheme="majorBidi"/>
          <w:sz w:val="28"/>
          <w:szCs w:val="28"/>
        </w:rPr>
        <w:t> (tableau de fréquence) est un tableau multivarié et est facile à construire avec les logiciels tableurs courants (Exell,…) mais devient assez fastidieux dès que le nombre de relevés augmente.</w:t>
      </w:r>
    </w:p>
    <w:p w:rsidR="00370CAC" w:rsidRPr="00BA15A6"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La représentation </w:t>
      </w:r>
      <w:r w:rsidRPr="00BA15A6">
        <w:rPr>
          <w:rFonts w:asciiTheme="majorBidi" w:hAnsiTheme="majorBidi" w:cstheme="majorBidi"/>
          <w:b/>
          <w:bCs/>
          <w:sz w:val="28"/>
          <w:szCs w:val="28"/>
        </w:rPr>
        <w:t>multidimensionnelle</w:t>
      </w:r>
      <w:r w:rsidRPr="00BA15A6">
        <w:rPr>
          <w:rFonts w:asciiTheme="majorBidi" w:hAnsiTheme="majorBidi" w:cstheme="majorBidi"/>
          <w:sz w:val="28"/>
          <w:szCs w:val="28"/>
        </w:rPr>
        <w:t> de ces données peut prendre deux formes graphiques : soit on considère que l’espace est défini par des axes « stations » où les espèces sont placées en fonction de leur coefficient d’abondance ; soit on considère que l’espace est défini par des axes « espèces » où les stations sont placées en fonction des abondances des espèces qui y sont présentes. On peut ainsi rapidement mettre en évidence les relations de proximité écologique entre espèces ou les espèces ayant les plus fortes dominances pour chaque station.</w:t>
      </w:r>
    </w:p>
    <w:p w:rsidR="00370CAC" w:rsidRPr="00BA15A6" w:rsidRDefault="00370CAC" w:rsidP="00370CAC">
      <w:pPr>
        <w:rPr>
          <w:rFonts w:asciiTheme="majorBidi" w:hAnsiTheme="majorBidi" w:cstheme="majorBidi"/>
          <w:b/>
          <w:bCs/>
          <w:sz w:val="28"/>
          <w:szCs w:val="28"/>
        </w:rPr>
      </w:pPr>
      <w:r w:rsidRPr="00BA15A6">
        <w:rPr>
          <w:rFonts w:asciiTheme="majorBidi" w:hAnsiTheme="majorBidi" w:cstheme="majorBidi"/>
          <w:b/>
          <w:bCs/>
          <w:sz w:val="28"/>
          <w:szCs w:val="28"/>
        </w:rPr>
        <w:t>B. La mesure de la similarité entre stations et entre espèces</w:t>
      </w:r>
    </w:p>
    <w:p w:rsidR="00370CAC"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La visualisation graphique des positions des stations ou des espèces dans leur espace réciproque a tout de suite évoqué la possibilité de </w:t>
      </w:r>
      <w:r w:rsidRPr="00BA15A6">
        <w:rPr>
          <w:rFonts w:asciiTheme="majorBidi" w:hAnsiTheme="majorBidi" w:cstheme="majorBidi"/>
          <w:b/>
          <w:bCs/>
          <w:sz w:val="28"/>
          <w:szCs w:val="28"/>
        </w:rPr>
        <w:t>mesurer la distance</w:t>
      </w:r>
      <w:r w:rsidRPr="00BA15A6">
        <w:rPr>
          <w:rFonts w:asciiTheme="majorBidi" w:hAnsiTheme="majorBidi" w:cstheme="majorBidi"/>
          <w:sz w:val="28"/>
          <w:szCs w:val="28"/>
        </w:rPr>
        <w:t xml:space="preserve"> qui les sépare les unes des autres. Cette distance est en effet la meilleure mesure multivariée des différences qui existent soit entre les espèces, soit entre les stations. </w:t>
      </w:r>
    </w:p>
    <w:p w:rsidR="00370CAC" w:rsidRPr="00BA15A6"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Une mesure de distance est donc une estimation inverse de la similarité. De nombreuses mesures de distance ou d’indices de similarité existent dans la littérature (Legendre &amp; Legendre, 1984). Les indices généralement utilisés relèvent de deux groupes principaux : les mesures de distance (D) et les indices de similarité (S = 1 – D). Les indices de similarité symétriques considèrent les doubles-rézos comme des ressemblances.</w:t>
      </w:r>
    </w:p>
    <w:p w:rsidR="00370CAC" w:rsidRPr="00BA15A6"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Le choix d’un indice approprié est fondamental car toute analyse ultérieure se fera sur la matrice qui en résulte. L’indice de similarité de Steinhaus (S17) est un indice quantitatif asymétrique qui est destiné aux données d’abondances des espèces. Son équivalent en terme de distances est l’indice de Bray &amp; Curtis (D14 = 1-S17).</w:t>
      </w:r>
    </w:p>
    <w:p w:rsidR="00370CAC" w:rsidRPr="00BA15A6" w:rsidRDefault="00370CAC" w:rsidP="00370CAC">
      <w:pPr>
        <w:rPr>
          <w:rFonts w:asciiTheme="majorBidi" w:hAnsiTheme="majorBidi" w:cstheme="majorBidi"/>
          <w:b/>
          <w:bCs/>
          <w:sz w:val="28"/>
          <w:szCs w:val="28"/>
        </w:rPr>
      </w:pPr>
      <w:r w:rsidRPr="00BA15A6">
        <w:rPr>
          <w:rFonts w:asciiTheme="majorBidi" w:hAnsiTheme="majorBidi" w:cstheme="majorBidi"/>
          <w:b/>
          <w:bCs/>
          <w:sz w:val="28"/>
          <w:szCs w:val="28"/>
        </w:rPr>
        <w:t>C. Méthodes d’analyse</w:t>
      </w:r>
    </w:p>
    <w:p w:rsidR="00370CAC" w:rsidRPr="00BA15A6" w:rsidRDefault="00370CAC" w:rsidP="00370CAC">
      <w:pPr>
        <w:numPr>
          <w:ilvl w:val="0"/>
          <w:numId w:val="8"/>
        </w:numPr>
        <w:rPr>
          <w:rFonts w:asciiTheme="majorBidi" w:hAnsiTheme="majorBidi" w:cstheme="majorBidi"/>
          <w:sz w:val="28"/>
          <w:szCs w:val="28"/>
        </w:rPr>
      </w:pPr>
      <w:r w:rsidRPr="00BA15A6">
        <w:rPr>
          <w:rFonts w:asciiTheme="majorBidi" w:hAnsiTheme="majorBidi" w:cstheme="majorBidi"/>
          <w:b/>
          <w:bCs/>
          <w:sz w:val="28"/>
          <w:szCs w:val="28"/>
        </w:rPr>
        <w:t>Méthodes d’ordination</w:t>
      </w:r>
    </w:p>
    <w:p w:rsidR="00370CAC" w:rsidRPr="00BA15A6"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L’objectif des méthodes d’ordination est d’ordonner des objets les uns par rapport aux autres de manière à éloigner les objets les plus différents en essayant de limiter le nombre de variables nécessaires. Plusieurs méthodes d’ordination sont largement utilisées en botanique, mais l’</w:t>
      </w:r>
      <w:r w:rsidRPr="00BA15A6">
        <w:rPr>
          <w:rFonts w:asciiTheme="majorBidi" w:hAnsiTheme="majorBidi" w:cstheme="majorBidi"/>
          <w:b/>
          <w:bCs/>
          <w:sz w:val="28"/>
          <w:szCs w:val="28"/>
        </w:rPr>
        <w:t>analyse factorielle des correspondances (AFC)</w:t>
      </w:r>
      <w:r w:rsidRPr="00BA15A6">
        <w:rPr>
          <w:rFonts w:asciiTheme="majorBidi" w:hAnsiTheme="majorBidi" w:cstheme="majorBidi"/>
          <w:sz w:val="28"/>
          <w:szCs w:val="28"/>
        </w:rPr>
        <w:t> et l’</w:t>
      </w:r>
      <w:r w:rsidRPr="00BA15A6">
        <w:rPr>
          <w:rFonts w:asciiTheme="majorBidi" w:hAnsiTheme="majorBidi" w:cstheme="majorBidi"/>
          <w:b/>
          <w:bCs/>
          <w:sz w:val="28"/>
          <w:szCs w:val="28"/>
        </w:rPr>
        <w:t>analyse canonique des correspondances (CCA)</w:t>
      </w:r>
      <w:r w:rsidRPr="00BA15A6">
        <w:rPr>
          <w:rFonts w:asciiTheme="majorBidi" w:hAnsiTheme="majorBidi" w:cstheme="majorBidi"/>
          <w:sz w:val="28"/>
          <w:szCs w:val="28"/>
        </w:rPr>
        <w:t> sont actuellement les plus répandues (Bouxin, 2004). Les axes reflètent les grandes variations des facteurs écologiques (humidité par exemple). Cette méthode permet donc de saisir directement les facteurs de variations, par ordre d’importance ainsi que la réaction des espèces à ces divers facteurs et la façon dont le milieu se structure à partir d’eux. Les groupes socio-écologiques sont ainsi facilement détectés.</w:t>
      </w:r>
    </w:p>
    <w:p w:rsidR="00370CAC"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De nombreuses techniques d’ordination ont été développées : analyse factorielle (FA), technique de Bray et Curtis (Polar ordination), analyse en composantes principales (PCA), analyse des principales coordonnées (PCoA), analyse des correspondances (CA) et sa variante.</w:t>
      </w:r>
    </w:p>
    <w:p w:rsidR="00370CAC" w:rsidRPr="00BA15A6"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 xml:space="preserve"> L’analyse en composantes principales disperse peu les relevés mais beaucoup mieux les espèces et reste utile avec des données d’abondance ou des variables continues (mésologiques par exemple). Les analyses des correspondances (CA et DCA) sont très sensibles aux espèces rares (certains auteurs n’hésitent pas à supprimer ces espèces rares). </w:t>
      </w:r>
    </w:p>
    <w:p w:rsidR="00370CAC"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 xml:space="preserve">Le traitement d’autres données que les espèces et les relevés, telles que des données écologiques, est possible : analyse canonique des correspondances (données environnementales traitées en sus du tableau de végétation) ou analyse factorielle multiple (plusieurs tableaux ensemble). L’analyse permet alors de regrouper les relevés (individus) selon leur composition floristique et les espèces (variables principales) selon leur sociologie au sein des relevés. Les données écologiques interviennent dans un second temps comme « variables supplémentaires ». </w:t>
      </w:r>
    </w:p>
    <w:p w:rsidR="00370CAC" w:rsidRPr="006E08DD" w:rsidRDefault="00370CAC" w:rsidP="00370CAC">
      <w:pPr>
        <w:pStyle w:val="Paragraphedeliste"/>
        <w:numPr>
          <w:ilvl w:val="0"/>
          <w:numId w:val="7"/>
        </w:numPr>
        <w:jc w:val="both"/>
        <w:rPr>
          <w:rFonts w:asciiTheme="majorBidi" w:hAnsiTheme="majorBidi" w:cstheme="majorBidi"/>
          <w:sz w:val="28"/>
          <w:szCs w:val="28"/>
        </w:rPr>
      </w:pPr>
      <w:r w:rsidRPr="006E08DD">
        <w:rPr>
          <w:rFonts w:asciiTheme="majorBidi" w:hAnsiTheme="majorBidi" w:cstheme="majorBidi"/>
          <w:b/>
          <w:bCs/>
          <w:sz w:val="28"/>
          <w:szCs w:val="28"/>
        </w:rPr>
        <w:t>Méthodes de groupement</w:t>
      </w:r>
    </w:p>
    <w:p w:rsidR="00370CAC"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 xml:space="preserve">Le principe d’une méthode de groupement est de rassembler les objets qui ont un degré de similarité suffisant pour être réunis dans le même ensemble. Dans le cadre de l’analyse de la végétation, on groupe les relevés pour mettre en évidence des conditions écologiques particulières qui président à la reconnaissance des associations végétales. </w:t>
      </w:r>
    </w:p>
    <w:p w:rsidR="00370CAC"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Il existe un large éventail de méthodes de groupement. Elles sont généralement d’abord classées en fonction de leur caractère </w:t>
      </w:r>
      <w:r w:rsidRPr="00BA15A6">
        <w:rPr>
          <w:rFonts w:asciiTheme="majorBidi" w:hAnsiTheme="majorBidi" w:cstheme="majorBidi"/>
          <w:b/>
          <w:bCs/>
          <w:sz w:val="28"/>
          <w:szCs w:val="28"/>
        </w:rPr>
        <w:t>hiérarchique</w:t>
      </w:r>
      <w:r w:rsidRPr="00BA15A6">
        <w:rPr>
          <w:rFonts w:asciiTheme="majorBidi" w:hAnsiTheme="majorBidi" w:cstheme="majorBidi"/>
          <w:sz w:val="28"/>
          <w:szCs w:val="28"/>
        </w:rPr>
        <w:t xml:space="preserve"> ou non. </w:t>
      </w:r>
    </w:p>
    <w:p w:rsidR="00370CAC" w:rsidRPr="00BA15A6"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 xml:space="preserve">On désigne par l’appellation </w:t>
      </w:r>
      <w:r w:rsidRPr="001607F6">
        <w:rPr>
          <w:rFonts w:asciiTheme="majorBidi" w:hAnsiTheme="majorBidi" w:cstheme="majorBidi"/>
          <w:b/>
          <w:bCs/>
          <w:sz w:val="28"/>
          <w:szCs w:val="28"/>
        </w:rPr>
        <w:t>hiérarchique</w:t>
      </w:r>
      <w:r w:rsidRPr="00BA15A6">
        <w:rPr>
          <w:rFonts w:asciiTheme="majorBidi" w:hAnsiTheme="majorBidi" w:cstheme="majorBidi"/>
          <w:sz w:val="28"/>
          <w:szCs w:val="28"/>
        </w:rPr>
        <w:t xml:space="preserve"> les méthodes qui imposent de manière définitive la position d’un objet au sein d’une filière de classification. Tous les objets doivent obligatoirement se retrouver dans la structure finale. Elles permettent la construction d’un dendrogramme qui montre la séquence dans laquelle les divisions ou fusions de groupes sont faites. Il s’agit des méthodes les plus utilisées et les plus faciles à comprendre.</w:t>
      </w:r>
    </w:p>
    <w:p w:rsidR="00370CAC"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Les méthodes </w:t>
      </w:r>
      <w:r w:rsidRPr="00BA15A6">
        <w:rPr>
          <w:rFonts w:asciiTheme="majorBidi" w:hAnsiTheme="majorBidi" w:cstheme="majorBidi"/>
          <w:b/>
          <w:bCs/>
          <w:sz w:val="28"/>
          <w:szCs w:val="28"/>
        </w:rPr>
        <w:t>non hiérarchiques</w:t>
      </w:r>
      <w:r w:rsidRPr="00BA15A6">
        <w:rPr>
          <w:rFonts w:asciiTheme="majorBidi" w:hAnsiTheme="majorBidi" w:cstheme="majorBidi"/>
          <w:sz w:val="28"/>
          <w:szCs w:val="28"/>
        </w:rPr>
        <w:t xml:space="preserve"> établissent une classification qui est indépendante d’un niveau à l’autre. Certaines permettent en outre une superposition des objets dans deux ou plusieurs groupes de manière à bien révéler leur caractère intermédiaire. le critère permettant de décider de la fusion de deux classes est basé sur l’augmentation de la dispersion intra-classe. </w:t>
      </w:r>
    </w:p>
    <w:p w:rsidR="00370CAC" w:rsidRPr="00BA15A6"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A chaque classe, on fusionne les deux classes qui provoquent la plus faible augmentation du moment intra-classe. Il s’agit d’une méthode hiérarchique agrégative. Plusieurs critères d’agrégation existent à partir des mesures de distance (lien complet, lien moyen, lien simple).</w:t>
      </w:r>
    </w:p>
    <w:p w:rsidR="00370CAC" w:rsidRPr="00BA15A6" w:rsidRDefault="00370CAC" w:rsidP="00370CAC">
      <w:pPr>
        <w:numPr>
          <w:ilvl w:val="0"/>
          <w:numId w:val="9"/>
        </w:numPr>
        <w:rPr>
          <w:rFonts w:asciiTheme="majorBidi" w:hAnsiTheme="majorBidi" w:cstheme="majorBidi"/>
          <w:sz w:val="28"/>
          <w:szCs w:val="28"/>
        </w:rPr>
      </w:pPr>
      <w:r w:rsidRPr="00BA15A6">
        <w:rPr>
          <w:rFonts w:asciiTheme="majorBidi" w:hAnsiTheme="majorBidi" w:cstheme="majorBidi"/>
          <w:b/>
          <w:bCs/>
          <w:sz w:val="28"/>
          <w:szCs w:val="28"/>
        </w:rPr>
        <w:t>Espèces indicatrices</w:t>
      </w:r>
    </w:p>
    <w:p w:rsidR="00370CAC" w:rsidRPr="00BA15A6" w:rsidRDefault="00370CAC" w:rsidP="00370CAC">
      <w:pPr>
        <w:rPr>
          <w:rFonts w:asciiTheme="majorBidi" w:hAnsiTheme="majorBidi" w:cstheme="majorBidi"/>
          <w:sz w:val="28"/>
          <w:szCs w:val="28"/>
        </w:rPr>
      </w:pPr>
      <w:r w:rsidRPr="00BA15A6">
        <w:rPr>
          <w:rFonts w:asciiTheme="majorBidi" w:hAnsiTheme="majorBidi" w:cstheme="majorBidi"/>
          <w:b/>
          <w:bCs/>
          <w:i/>
          <w:iCs/>
          <w:sz w:val="28"/>
          <w:szCs w:val="28"/>
        </w:rPr>
        <w:t>a. Méthode Twinspan</w:t>
      </w:r>
    </w:p>
    <w:p w:rsidR="00370CAC" w:rsidRDefault="00370CAC" w:rsidP="00370CAC">
      <w:pPr>
        <w:jc w:val="both"/>
        <w:rPr>
          <w:rFonts w:asciiTheme="majorBidi" w:hAnsiTheme="majorBidi" w:cstheme="majorBidi"/>
          <w:b/>
          <w:bCs/>
          <w:i/>
          <w:iCs/>
          <w:sz w:val="28"/>
          <w:szCs w:val="28"/>
        </w:rPr>
      </w:pPr>
      <w:r w:rsidRPr="00015A0F">
        <w:rPr>
          <w:rFonts w:asciiTheme="majorBidi" w:hAnsiTheme="majorBidi" w:cstheme="majorBidi"/>
          <w:sz w:val="28"/>
          <w:szCs w:val="28"/>
        </w:rPr>
        <w:t>Le principe de base est de réaliser une classification hiérarchique des relevés sur la base du premier axe d’une analyse factorielle des correspondances. Cet axe sert de base pour séparer les relevés en deux groupes. Le programme évalue ensuite le caractère indicateur des espèces en se basant sur le concept de « </w:t>
      </w:r>
      <w:r w:rsidRPr="00015A0F">
        <w:rPr>
          <w:rFonts w:asciiTheme="majorBidi" w:hAnsiTheme="majorBidi" w:cstheme="majorBidi"/>
          <w:i/>
          <w:iCs/>
          <w:sz w:val="28"/>
          <w:szCs w:val="28"/>
        </w:rPr>
        <w:t>pseudo-espèce</w:t>
      </w:r>
      <w:r w:rsidRPr="00015A0F">
        <w:rPr>
          <w:rFonts w:asciiTheme="majorBidi" w:hAnsiTheme="majorBidi" w:cstheme="majorBidi"/>
          <w:sz w:val="28"/>
          <w:szCs w:val="28"/>
        </w:rPr>
        <w:t> ». Comme l’affinité d’une espèce avec un groupe se mesure en termes de présence/absence,</w:t>
      </w:r>
      <w:r w:rsidRPr="00015A0F">
        <w:rPr>
          <w:rFonts w:asciiTheme="majorBidi" w:hAnsiTheme="majorBidi" w:cstheme="majorBidi"/>
          <w:sz w:val="28"/>
          <w:szCs w:val="28"/>
        </w:rPr>
        <w:br/>
        <w:t xml:space="preserve">TWINSPAN utilise des pseudoespèces pour évaluer ces présence/absences pour différents niveaux </w:t>
      </w:r>
      <w:r w:rsidRPr="00015A0F">
        <w:rPr>
          <w:rFonts w:asciiTheme="majorBidi" w:hAnsiTheme="majorBidi" w:cstheme="majorBidi"/>
          <w:b/>
          <w:bCs/>
          <w:sz w:val="28"/>
          <w:szCs w:val="28"/>
        </w:rPr>
        <w:t>d’</w:t>
      </w:r>
      <w:hyperlink r:id="rId18" w:anchor="def" w:tooltip="Abondance" w:history="1">
        <w:r w:rsidRPr="00015A0F">
          <w:rPr>
            <w:rStyle w:val="Lienhypertexte"/>
            <w:rFonts w:asciiTheme="majorBidi" w:hAnsiTheme="majorBidi" w:cstheme="majorBidi"/>
            <w:b/>
            <w:bCs/>
            <w:sz w:val="28"/>
            <w:szCs w:val="28"/>
          </w:rPr>
          <w:t>abondance</w:t>
        </w:r>
      </w:hyperlink>
      <w:r w:rsidRPr="00015A0F">
        <w:rPr>
          <w:rFonts w:asciiTheme="majorBidi" w:hAnsiTheme="majorBidi" w:cstheme="majorBidi"/>
          <w:b/>
          <w:bCs/>
          <w:sz w:val="28"/>
          <w:szCs w:val="28"/>
        </w:rPr>
        <w:t> relative</w:t>
      </w:r>
      <w:r w:rsidRPr="00015A0F">
        <w:rPr>
          <w:rFonts w:asciiTheme="majorBidi" w:hAnsiTheme="majorBidi" w:cstheme="majorBidi"/>
          <w:sz w:val="28"/>
          <w:szCs w:val="28"/>
        </w:rPr>
        <w:t xml:space="preserve">. Une procédure relativement complexe est mise en œuvre pour identifier au mieux les niveaux </w:t>
      </w:r>
      <w:r w:rsidRPr="00015A0F">
        <w:rPr>
          <w:rFonts w:asciiTheme="majorBidi" w:hAnsiTheme="majorBidi" w:cstheme="majorBidi"/>
          <w:b/>
          <w:bCs/>
          <w:sz w:val="28"/>
          <w:szCs w:val="28"/>
        </w:rPr>
        <w:t>d’</w:t>
      </w:r>
      <w:hyperlink r:id="rId19" w:anchor="def" w:tooltip="Abondance" w:history="1">
        <w:r w:rsidRPr="00015A0F">
          <w:rPr>
            <w:rStyle w:val="Lienhypertexte"/>
            <w:rFonts w:asciiTheme="majorBidi" w:hAnsiTheme="majorBidi" w:cstheme="majorBidi"/>
            <w:b/>
            <w:bCs/>
            <w:sz w:val="28"/>
            <w:szCs w:val="28"/>
          </w:rPr>
          <w:t>abondance</w:t>
        </w:r>
      </w:hyperlink>
      <w:r w:rsidRPr="00015A0F">
        <w:rPr>
          <w:rFonts w:asciiTheme="majorBidi" w:hAnsiTheme="majorBidi" w:cstheme="majorBidi"/>
          <w:sz w:val="28"/>
          <w:szCs w:val="28"/>
        </w:rPr>
        <w:t> qui sont préférentiel d’un des deux groupes de relevés. La procédure recommence ensuite pour chacun des deux groupes initiaux. Chacun des deux groupes de relevés est lui aussi soumis à une AFC et scindé en deux sous-groupes. A chaque division, le programme identifie les espèces indicatrices. Cette méthode semble de moins en moins utilisée en raison de sa complexité.</w:t>
      </w:r>
      <w:r w:rsidRPr="00015A0F">
        <w:rPr>
          <w:rFonts w:asciiTheme="majorBidi" w:hAnsiTheme="majorBidi" w:cstheme="majorBidi"/>
          <w:b/>
          <w:bCs/>
          <w:i/>
          <w:iCs/>
          <w:sz w:val="28"/>
          <w:szCs w:val="28"/>
        </w:rPr>
        <w:t xml:space="preserve"> </w:t>
      </w:r>
    </w:p>
    <w:p w:rsidR="00370CAC" w:rsidRPr="00BA15A6" w:rsidRDefault="00370CAC" w:rsidP="00370CAC">
      <w:pPr>
        <w:rPr>
          <w:rFonts w:asciiTheme="majorBidi" w:hAnsiTheme="majorBidi" w:cstheme="majorBidi"/>
          <w:sz w:val="28"/>
          <w:szCs w:val="28"/>
        </w:rPr>
      </w:pPr>
      <w:r w:rsidRPr="00BA15A6">
        <w:rPr>
          <w:rFonts w:asciiTheme="majorBidi" w:hAnsiTheme="majorBidi" w:cstheme="majorBidi"/>
          <w:b/>
          <w:bCs/>
          <w:i/>
          <w:iCs/>
          <w:sz w:val="28"/>
          <w:szCs w:val="28"/>
        </w:rPr>
        <w:t>b. La méthode IndVal</w:t>
      </w:r>
    </w:p>
    <w:p w:rsidR="00370CAC" w:rsidRPr="00BA15A6" w:rsidRDefault="00370CAC" w:rsidP="00370CAC">
      <w:pPr>
        <w:jc w:val="both"/>
        <w:rPr>
          <w:rFonts w:asciiTheme="majorBidi" w:hAnsiTheme="majorBidi" w:cstheme="majorBidi"/>
          <w:sz w:val="28"/>
          <w:szCs w:val="28"/>
        </w:rPr>
      </w:pPr>
      <w:r>
        <w:rPr>
          <w:rFonts w:asciiTheme="majorBidi" w:hAnsiTheme="majorBidi" w:cstheme="majorBidi"/>
          <w:sz w:val="28"/>
          <w:szCs w:val="28"/>
        </w:rPr>
        <w:t xml:space="preserve">Elle a </w:t>
      </w:r>
      <w:r w:rsidRPr="00BA15A6">
        <w:rPr>
          <w:rFonts w:asciiTheme="majorBidi" w:hAnsiTheme="majorBidi" w:cstheme="majorBidi"/>
          <w:sz w:val="28"/>
          <w:szCs w:val="28"/>
        </w:rPr>
        <w:t>été proposée par Dufrêne &amp; Legendre (1997). Elle propose la même approche : on utilise une classification des relevés pour identifier les espèces qui en sont indicatrices. Le principe repose sur la définition du caractère indicateur d’une espèce : une espèce est considérée comme indicatrice si elle est typique d’un groupe de relevés (elle est absente des autres groupes) et si elle est présente dans tous les relevés de ce groupe. Elle combine une mesure de la spécificité d’une espèce avec celle de sa fidélité :</w:t>
      </w:r>
    </w:p>
    <w:p w:rsidR="00370CAC" w:rsidRPr="00BA15A6" w:rsidRDefault="00370CAC" w:rsidP="00370CAC">
      <w:pPr>
        <w:numPr>
          <w:ilvl w:val="0"/>
          <w:numId w:val="10"/>
        </w:numPr>
        <w:rPr>
          <w:rFonts w:asciiTheme="majorBidi" w:hAnsiTheme="majorBidi" w:cstheme="majorBidi"/>
          <w:sz w:val="28"/>
          <w:szCs w:val="28"/>
        </w:rPr>
      </w:pPr>
      <w:r w:rsidRPr="00BA15A6">
        <w:rPr>
          <w:rFonts w:asciiTheme="majorBidi" w:hAnsiTheme="majorBidi" w:cstheme="majorBidi"/>
          <w:sz w:val="28"/>
          <w:szCs w:val="28"/>
        </w:rPr>
        <w:t>La mesure de la </w:t>
      </w:r>
      <w:r w:rsidRPr="00BA15A6">
        <w:rPr>
          <w:rFonts w:asciiTheme="majorBidi" w:hAnsiTheme="majorBidi" w:cstheme="majorBidi"/>
          <w:b/>
          <w:bCs/>
          <w:sz w:val="28"/>
          <w:szCs w:val="28"/>
        </w:rPr>
        <w:t>spécificité</w:t>
      </w:r>
      <w:r w:rsidRPr="00BA15A6">
        <w:rPr>
          <w:rFonts w:asciiTheme="majorBidi" w:hAnsiTheme="majorBidi" w:cstheme="majorBidi"/>
          <w:sz w:val="28"/>
          <w:szCs w:val="28"/>
        </w:rPr>
        <w:t> :</w:t>
      </w:r>
      <w:r w:rsidRPr="00BA15A6">
        <w:rPr>
          <w:rFonts w:asciiTheme="majorBidi" w:hAnsiTheme="majorBidi" w:cstheme="majorBidi"/>
          <w:sz w:val="28"/>
          <w:szCs w:val="28"/>
        </w:rPr>
        <w:br/>
        <w:t>Aij = N individus ij / N individus i</w:t>
      </w:r>
    </w:p>
    <w:p w:rsidR="00370CAC" w:rsidRPr="00BA15A6"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 xml:space="preserve">avec </w:t>
      </w:r>
      <w:r w:rsidRPr="00FF4845">
        <w:rPr>
          <w:rFonts w:asciiTheme="majorBidi" w:hAnsiTheme="majorBidi" w:cstheme="majorBidi"/>
          <w:b/>
          <w:bCs/>
          <w:sz w:val="28"/>
          <w:szCs w:val="28"/>
        </w:rPr>
        <w:t>N individus ij</w:t>
      </w:r>
      <w:r w:rsidRPr="00BA15A6">
        <w:rPr>
          <w:rFonts w:asciiTheme="majorBidi" w:hAnsiTheme="majorBidi" w:cstheme="majorBidi"/>
          <w:sz w:val="28"/>
          <w:szCs w:val="28"/>
        </w:rPr>
        <w:t xml:space="preserve"> : le nombre moyen d’individus de l’espèce i (abondance moyenne) présents dans le groupe j et</w:t>
      </w:r>
      <w:r>
        <w:rPr>
          <w:rFonts w:asciiTheme="majorBidi" w:hAnsiTheme="majorBidi" w:cstheme="majorBidi"/>
          <w:sz w:val="28"/>
          <w:szCs w:val="28"/>
        </w:rPr>
        <w:t xml:space="preserve"> </w:t>
      </w:r>
      <w:r w:rsidRPr="00FF4845">
        <w:rPr>
          <w:rFonts w:asciiTheme="majorBidi" w:hAnsiTheme="majorBidi" w:cstheme="majorBidi"/>
          <w:b/>
          <w:bCs/>
          <w:sz w:val="28"/>
          <w:szCs w:val="28"/>
        </w:rPr>
        <w:t>N individus i</w:t>
      </w:r>
      <w:r w:rsidRPr="00BA15A6">
        <w:rPr>
          <w:rFonts w:asciiTheme="majorBidi" w:hAnsiTheme="majorBidi" w:cstheme="majorBidi"/>
          <w:sz w:val="28"/>
          <w:szCs w:val="28"/>
        </w:rPr>
        <w:t xml:space="preserve"> : la somme des moyennes des nombres d’individus de l’espèce i (abondance moyenne) dans tous les groupes.</w:t>
      </w:r>
    </w:p>
    <w:p w:rsidR="00370CAC" w:rsidRPr="00BA15A6" w:rsidRDefault="00370CAC" w:rsidP="00370CAC">
      <w:pPr>
        <w:numPr>
          <w:ilvl w:val="0"/>
          <w:numId w:val="11"/>
        </w:numPr>
        <w:rPr>
          <w:rFonts w:asciiTheme="majorBidi" w:hAnsiTheme="majorBidi" w:cstheme="majorBidi"/>
          <w:sz w:val="28"/>
          <w:szCs w:val="28"/>
        </w:rPr>
      </w:pPr>
      <w:r w:rsidRPr="00BA15A6">
        <w:rPr>
          <w:rFonts w:asciiTheme="majorBidi" w:hAnsiTheme="majorBidi" w:cstheme="majorBidi"/>
          <w:sz w:val="28"/>
          <w:szCs w:val="28"/>
        </w:rPr>
        <w:t>La mesure de la </w:t>
      </w:r>
      <w:r w:rsidRPr="00BA15A6">
        <w:rPr>
          <w:rFonts w:asciiTheme="majorBidi" w:hAnsiTheme="majorBidi" w:cstheme="majorBidi"/>
          <w:b/>
          <w:bCs/>
          <w:sz w:val="28"/>
          <w:szCs w:val="28"/>
        </w:rPr>
        <w:t>fidélité</w:t>
      </w:r>
      <w:r w:rsidRPr="00BA15A6">
        <w:rPr>
          <w:rFonts w:asciiTheme="majorBidi" w:hAnsiTheme="majorBidi" w:cstheme="majorBidi"/>
          <w:sz w:val="28"/>
          <w:szCs w:val="28"/>
        </w:rPr>
        <w:t> :</w:t>
      </w:r>
      <w:r w:rsidRPr="00BA15A6">
        <w:rPr>
          <w:rFonts w:asciiTheme="majorBidi" w:hAnsiTheme="majorBidi" w:cstheme="majorBidi"/>
          <w:sz w:val="28"/>
          <w:szCs w:val="28"/>
        </w:rPr>
        <w:br/>
        <w:t>Bij = N relevés ij / N relevés i</w:t>
      </w:r>
    </w:p>
    <w:p w:rsidR="00370CAC" w:rsidRPr="00BA15A6" w:rsidRDefault="00370CAC" w:rsidP="00370CAC">
      <w:pPr>
        <w:rPr>
          <w:rFonts w:asciiTheme="majorBidi" w:hAnsiTheme="majorBidi" w:cstheme="majorBidi"/>
          <w:sz w:val="28"/>
          <w:szCs w:val="28"/>
        </w:rPr>
      </w:pPr>
      <w:r w:rsidRPr="00BA15A6">
        <w:rPr>
          <w:rFonts w:asciiTheme="majorBidi" w:hAnsiTheme="majorBidi" w:cstheme="majorBidi"/>
          <w:sz w:val="28"/>
          <w:szCs w:val="28"/>
        </w:rPr>
        <w:t xml:space="preserve">avec </w:t>
      </w:r>
      <w:r w:rsidRPr="00FF4845">
        <w:rPr>
          <w:rFonts w:asciiTheme="majorBidi" w:hAnsiTheme="majorBidi" w:cstheme="majorBidi"/>
          <w:b/>
          <w:bCs/>
          <w:sz w:val="28"/>
          <w:szCs w:val="28"/>
        </w:rPr>
        <w:t>N relevés ij</w:t>
      </w:r>
      <w:r w:rsidRPr="00BA15A6">
        <w:rPr>
          <w:rFonts w:asciiTheme="majorBidi" w:hAnsiTheme="majorBidi" w:cstheme="majorBidi"/>
          <w:sz w:val="28"/>
          <w:szCs w:val="28"/>
        </w:rPr>
        <w:t xml:space="preserve"> : le nombre de relevés dans le groupe j dans lesquels l’espèce i est présente et</w:t>
      </w:r>
      <w:r>
        <w:rPr>
          <w:rFonts w:asciiTheme="majorBidi" w:hAnsiTheme="majorBidi" w:cstheme="majorBidi"/>
          <w:sz w:val="28"/>
          <w:szCs w:val="28"/>
        </w:rPr>
        <w:t xml:space="preserve"> </w:t>
      </w:r>
      <w:r w:rsidRPr="00FF4845">
        <w:rPr>
          <w:rFonts w:asciiTheme="majorBidi" w:hAnsiTheme="majorBidi" w:cstheme="majorBidi"/>
          <w:b/>
          <w:bCs/>
          <w:sz w:val="28"/>
          <w:szCs w:val="28"/>
        </w:rPr>
        <w:t>N relevés j</w:t>
      </w:r>
      <w:r w:rsidRPr="00BA15A6">
        <w:rPr>
          <w:rFonts w:asciiTheme="majorBidi" w:hAnsiTheme="majorBidi" w:cstheme="majorBidi"/>
          <w:sz w:val="28"/>
          <w:szCs w:val="28"/>
        </w:rPr>
        <w:t xml:space="preserve"> : le nombre total de relevés dans le groupe j.</w:t>
      </w:r>
    </w:p>
    <w:p w:rsidR="00370CAC" w:rsidRPr="00BA15A6" w:rsidRDefault="00370CAC" w:rsidP="00370CAC">
      <w:pPr>
        <w:rPr>
          <w:rFonts w:asciiTheme="majorBidi" w:hAnsiTheme="majorBidi" w:cstheme="majorBidi"/>
          <w:sz w:val="28"/>
          <w:szCs w:val="28"/>
        </w:rPr>
      </w:pPr>
      <w:r w:rsidRPr="00BA15A6">
        <w:rPr>
          <w:rFonts w:asciiTheme="majorBidi" w:hAnsiTheme="majorBidi" w:cstheme="majorBidi"/>
          <w:sz w:val="28"/>
          <w:szCs w:val="28"/>
        </w:rPr>
        <w:t>La valeur indicatrice (IndValij en %) :     </w:t>
      </w:r>
      <w:r w:rsidRPr="00BA15A6">
        <w:rPr>
          <w:rFonts w:asciiTheme="majorBidi" w:hAnsiTheme="majorBidi" w:cstheme="majorBidi"/>
          <w:b/>
          <w:bCs/>
          <w:sz w:val="28"/>
          <w:szCs w:val="28"/>
        </w:rPr>
        <w:t>IndVal ij = A ij x B ij x 100</w:t>
      </w:r>
    </w:p>
    <w:p w:rsidR="00370CAC" w:rsidRPr="00BA15A6"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La valeur indicatrice de l’espèce pour un niveau de classification des relevés en différents groupes est la plus grande valeur d’IndVal observée pour un des groupes. La spécificité est maximale (100%) quand l’espèce n’occupe qu’un groupe et la fidélité est maximale (100%) lorsque l’espèce est présente dans tous les relevés d’un groupe. La valeur indicatrice de l’espèce est maximale (100 %) lorsque la spécificité et la fidélité sont maximales.</w:t>
      </w:r>
    </w:p>
    <w:p w:rsidR="00370CAC" w:rsidRPr="00BA15A6" w:rsidRDefault="00370CAC" w:rsidP="00370CAC">
      <w:pPr>
        <w:jc w:val="both"/>
        <w:rPr>
          <w:rFonts w:asciiTheme="majorBidi" w:hAnsiTheme="majorBidi" w:cstheme="majorBidi"/>
          <w:sz w:val="28"/>
          <w:szCs w:val="28"/>
        </w:rPr>
      </w:pPr>
      <w:r w:rsidRPr="00BA15A6">
        <w:rPr>
          <w:rFonts w:asciiTheme="majorBidi" w:hAnsiTheme="majorBidi" w:cstheme="majorBidi"/>
          <w:sz w:val="28"/>
          <w:szCs w:val="28"/>
        </w:rPr>
        <w:t>Ces espèces indicatrices donneront une signification écologique aux groupes préalablement constitués et permettront d’identifier les niveaux auxquels il est inutile de poursuivre la classification.</w:t>
      </w:r>
    </w:p>
    <w:p w:rsidR="00370CAC" w:rsidRDefault="00370CAC" w:rsidP="00370CAC">
      <w:pPr>
        <w:rPr>
          <w:rFonts w:asciiTheme="majorBidi" w:hAnsiTheme="majorBidi" w:cstheme="majorBidi"/>
          <w:b/>
          <w:bCs/>
          <w:sz w:val="28"/>
          <w:szCs w:val="28"/>
        </w:rPr>
      </w:pPr>
      <w:r w:rsidRPr="005D225E">
        <w:rPr>
          <w:rFonts w:asciiTheme="majorBidi" w:hAnsiTheme="majorBidi" w:cstheme="majorBidi"/>
          <w:b/>
          <w:bCs/>
          <w:sz w:val="28"/>
          <w:szCs w:val="28"/>
        </w:rPr>
        <w:t>III.1.3. Notion de groupe écologique</w:t>
      </w:r>
    </w:p>
    <w:p w:rsidR="00370CAC" w:rsidRDefault="00370CAC" w:rsidP="00370CAC">
      <w:pPr>
        <w:jc w:val="both"/>
        <w:rPr>
          <w:rFonts w:asciiTheme="majorBidi" w:hAnsiTheme="majorBidi" w:cstheme="majorBidi"/>
          <w:sz w:val="28"/>
          <w:szCs w:val="28"/>
        </w:rPr>
      </w:pPr>
      <w:r w:rsidRPr="00085FA3">
        <w:rPr>
          <w:rFonts w:asciiTheme="majorBidi" w:hAnsiTheme="majorBidi" w:cstheme="majorBidi"/>
          <w:sz w:val="28"/>
          <w:szCs w:val="28"/>
        </w:rPr>
        <w:t xml:space="preserve">Ce sont des groupes d'espèces ayant les mêmes exigences de milieu.  </w:t>
      </w:r>
    </w:p>
    <w:p w:rsidR="00370CAC" w:rsidRDefault="00370CAC" w:rsidP="00370CAC">
      <w:pPr>
        <w:jc w:val="both"/>
        <w:rPr>
          <w:rFonts w:asciiTheme="majorBidi" w:hAnsiTheme="majorBidi" w:cstheme="majorBidi"/>
          <w:sz w:val="28"/>
          <w:szCs w:val="28"/>
        </w:rPr>
      </w:pPr>
      <w:r w:rsidRPr="003B1BED">
        <w:rPr>
          <w:rFonts w:asciiTheme="majorBidi" w:hAnsiTheme="majorBidi" w:cstheme="majorBidi"/>
          <w:sz w:val="28"/>
          <w:szCs w:val="28"/>
        </w:rPr>
        <w:t xml:space="preserve">Un groupe écologique est donc formé par un certain nombre d'espèces indicatrices. Gounot (1969) considère qu'une espèce est indicatrice d'un facteur si sa présence varie dans les relevés de façon significative avec les classes du facteur. </w:t>
      </w:r>
    </w:p>
    <w:p w:rsidR="00370CAC" w:rsidRDefault="00370CAC" w:rsidP="00370CAC">
      <w:pPr>
        <w:jc w:val="both"/>
        <w:rPr>
          <w:rFonts w:asciiTheme="majorBidi" w:hAnsiTheme="majorBidi" w:cstheme="majorBidi"/>
          <w:sz w:val="28"/>
          <w:szCs w:val="28"/>
        </w:rPr>
      </w:pPr>
      <w:r w:rsidRPr="00313F7F">
        <w:rPr>
          <w:rFonts w:asciiTheme="majorBidi" w:hAnsiTheme="majorBidi" w:cstheme="majorBidi"/>
          <w:sz w:val="28"/>
          <w:szCs w:val="28"/>
        </w:rPr>
        <w:t xml:space="preserve">La définition de Flahault et Schröter en 1910 est la plus retenu « une association est un groupement végétal de composition floristique déterminée, présentant une physionomie uniforme et croissant dans des conditions stationnelles uniformes également ». </w:t>
      </w:r>
    </w:p>
    <w:p w:rsidR="00370CAC" w:rsidRDefault="00370CAC" w:rsidP="00370CAC">
      <w:pPr>
        <w:jc w:val="both"/>
        <w:rPr>
          <w:rFonts w:asciiTheme="majorBidi" w:hAnsiTheme="majorBidi" w:cstheme="majorBidi"/>
          <w:sz w:val="28"/>
          <w:szCs w:val="28"/>
        </w:rPr>
      </w:pPr>
      <w:r w:rsidRPr="000735D8">
        <w:rPr>
          <w:rFonts w:asciiTheme="majorBidi" w:hAnsiTheme="majorBidi" w:cstheme="majorBidi"/>
          <w:sz w:val="28"/>
          <w:szCs w:val="28"/>
        </w:rPr>
        <w:t>On détermine ainsi des groupes écologiques d'espèces à sol acide (acidophiles) ou neutre (neutrophile), d’ombre (sciaphiles) ou de lumière (héliophiles), de conditions hydriques moyennes (mésophiles) ou déficitaires (xérophiles).</w:t>
      </w:r>
    </w:p>
    <w:p w:rsidR="00370CAC" w:rsidRDefault="00370CAC" w:rsidP="00370CAC">
      <w:pPr>
        <w:rPr>
          <w:rFonts w:asciiTheme="majorBidi" w:hAnsiTheme="majorBidi" w:cstheme="majorBidi"/>
          <w:b/>
          <w:bCs/>
          <w:sz w:val="28"/>
          <w:szCs w:val="28"/>
        </w:rPr>
      </w:pPr>
    </w:p>
    <w:p w:rsidR="00370CAC" w:rsidRDefault="00370CAC" w:rsidP="00370CAC">
      <w:pPr>
        <w:rPr>
          <w:rFonts w:asciiTheme="majorBidi" w:hAnsiTheme="majorBidi" w:cstheme="majorBidi"/>
          <w:b/>
          <w:bCs/>
          <w:sz w:val="28"/>
          <w:szCs w:val="28"/>
        </w:rPr>
      </w:pPr>
    </w:p>
    <w:p w:rsidR="00370CAC" w:rsidRDefault="00370CAC" w:rsidP="00370CAC">
      <w:pPr>
        <w:rPr>
          <w:rFonts w:asciiTheme="majorBidi" w:hAnsiTheme="majorBidi" w:cstheme="majorBidi"/>
          <w:b/>
          <w:bCs/>
          <w:sz w:val="28"/>
          <w:szCs w:val="28"/>
        </w:rPr>
      </w:pPr>
      <w:r w:rsidRPr="00B64386">
        <w:rPr>
          <w:rFonts w:asciiTheme="majorBidi" w:hAnsiTheme="majorBidi" w:cstheme="majorBidi"/>
          <w:b/>
          <w:bCs/>
          <w:sz w:val="28"/>
          <w:szCs w:val="28"/>
        </w:rPr>
        <w:t xml:space="preserve">III.1.4. Approches phytoécologique  </w:t>
      </w:r>
    </w:p>
    <w:p w:rsidR="00370CAC" w:rsidRDefault="00370CAC" w:rsidP="00370CAC">
      <w:pPr>
        <w:jc w:val="both"/>
        <w:rPr>
          <w:rFonts w:asciiTheme="majorBidi" w:hAnsiTheme="majorBidi" w:cstheme="majorBidi"/>
          <w:sz w:val="28"/>
          <w:szCs w:val="28"/>
        </w:rPr>
      </w:pPr>
      <w:r w:rsidRPr="003B1BED">
        <w:rPr>
          <w:rFonts w:asciiTheme="majorBidi" w:hAnsiTheme="majorBidi" w:cstheme="majorBidi"/>
          <w:sz w:val="28"/>
          <w:szCs w:val="28"/>
        </w:rPr>
        <w:t>Les méthodes phytoécologiques reposent sur la notion de groupe écologique</w:t>
      </w:r>
    </w:p>
    <w:p w:rsidR="00370CAC" w:rsidRDefault="00370CAC" w:rsidP="00370CAC">
      <w:pPr>
        <w:jc w:val="both"/>
        <w:rPr>
          <w:rFonts w:asciiTheme="majorBidi" w:hAnsiTheme="majorBidi" w:cstheme="majorBidi"/>
          <w:sz w:val="28"/>
          <w:szCs w:val="28"/>
        </w:rPr>
      </w:pPr>
      <w:r w:rsidRPr="003B1BED">
        <w:rPr>
          <w:rFonts w:asciiTheme="majorBidi" w:hAnsiTheme="majorBidi" w:cstheme="majorBidi"/>
          <w:sz w:val="28"/>
          <w:szCs w:val="28"/>
        </w:rPr>
        <w:t xml:space="preserve">la caractérisation d'une espèce indicatrice nécessite une connaissance approfondie des facteurs du milieu, et en particulier </w:t>
      </w:r>
    </w:p>
    <w:p w:rsidR="00370CAC" w:rsidRDefault="00370CAC" w:rsidP="00370CAC">
      <w:pPr>
        <w:pStyle w:val="Paragraphedeliste"/>
        <w:numPr>
          <w:ilvl w:val="0"/>
          <w:numId w:val="7"/>
        </w:numPr>
        <w:jc w:val="both"/>
        <w:rPr>
          <w:rFonts w:asciiTheme="majorBidi" w:hAnsiTheme="majorBidi" w:cstheme="majorBidi"/>
          <w:sz w:val="28"/>
          <w:szCs w:val="28"/>
        </w:rPr>
      </w:pPr>
      <w:r w:rsidRPr="00D03C0F">
        <w:rPr>
          <w:rFonts w:asciiTheme="majorBidi" w:hAnsiTheme="majorBidi" w:cstheme="majorBidi"/>
          <w:b/>
          <w:bCs/>
          <w:sz w:val="28"/>
          <w:szCs w:val="28"/>
        </w:rPr>
        <w:t>facteurs</w:t>
      </w:r>
      <w:r w:rsidRPr="00D03C0F">
        <w:rPr>
          <w:rFonts w:asciiTheme="majorBidi" w:hAnsiTheme="majorBidi" w:cstheme="majorBidi"/>
          <w:sz w:val="28"/>
          <w:szCs w:val="28"/>
        </w:rPr>
        <w:t xml:space="preserve"> </w:t>
      </w:r>
      <w:r w:rsidRPr="00D03C0F">
        <w:rPr>
          <w:rFonts w:asciiTheme="majorBidi" w:hAnsiTheme="majorBidi" w:cstheme="majorBidi"/>
          <w:b/>
          <w:bCs/>
          <w:sz w:val="28"/>
          <w:szCs w:val="28"/>
        </w:rPr>
        <w:t>édaphiques</w:t>
      </w:r>
      <w:r w:rsidRPr="00D03C0F">
        <w:rPr>
          <w:rFonts w:asciiTheme="majorBidi" w:hAnsiTheme="majorBidi" w:cstheme="majorBidi"/>
          <w:sz w:val="28"/>
          <w:szCs w:val="28"/>
        </w:rPr>
        <w:t xml:space="preserve">: texture du sol, ph, composition chimique </w:t>
      </w:r>
    </w:p>
    <w:p w:rsidR="00370CAC" w:rsidRDefault="00370CAC" w:rsidP="00370CAC">
      <w:pPr>
        <w:pStyle w:val="Paragraphedeliste"/>
        <w:numPr>
          <w:ilvl w:val="0"/>
          <w:numId w:val="7"/>
        </w:numPr>
        <w:jc w:val="both"/>
        <w:rPr>
          <w:rFonts w:asciiTheme="majorBidi" w:hAnsiTheme="majorBidi" w:cstheme="majorBidi"/>
          <w:sz w:val="28"/>
          <w:szCs w:val="28"/>
        </w:rPr>
      </w:pPr>
      <w:r w:rsidRPr="00D03C0F">
        <w:rPr>
          <w:rFonts w:asciiTheme="majorBidi" w:hAnsiTheme="majorBidi" w:cstheme="majorBidi"/>
          <w:b/>
          <w:bCs/>
          <w:sz w:val="28"/>
          <w:szCs w:val="28"/>
        </w:rPr>
        <w:t>facteurs climatiques</w:t>
      </w:r>
      <w:r w:rsidRPr="00D03C0F">
        <w:rPr>
          <w:rFonts w:asciiTheme="majorBidi" w:hAnsiTheme="majorBidi" w:cstheme="majorBidi"/>
          <w:sz w:val="28"/>
          <w:szCs w:val="28"/>
        </w:rPr>
        <w:t xml:space="preserve"> : précipitations, températures et étage bioclimatique …...etc. </w:t>
      </w:r>
    </w:p>
    <w:p w:rsidR="00370CAC" w:rsidRPr="00D03C0F" w:rsidRDefault="00370CAC" w:rsidP="00370CAC">
      <w:pPr>
        <w:pStyle w:val="Paragraphedeliste"/>
        <w:numPr>
          <w:ilvl w:val="0"/>
          <w:numId w:val="7"/>
        </w:numPr>
        <w:rPr>
          <w:rFonts w:asciiTheme="majorBidi" w:hAnsiTheme="majorBidi" w:cstheme="majorBidi"/>
          <w:sz w:val="28"/>
          <w:szCs w:val="28"/>
        </w:rPr>
      </w:pPr>
      <w:r w:rsidRPr="00D03C0F">
        <w:rPr>
          <w:rFonts w:asciiTheme="majorBidi" w:hAnsiTheme="majorBidi" w:cstheme="majorBidi"/>
          <w:b/>
          <w:bCs/>
          <w:sz w:val="28"/>
          <w:szCs w:val="28"/>
        </w:rPr>
        <w:t>facteurs écologiques</w:t>
      </w:r>
      <w:r>
        <w:rPr>
          <w:rFonts w:asciiTheme="majorBidi" w:hAnsiTheme="majorBidi" w:cstheme="majorBidi"/>
          <w:sz w:val="28"/>
          <w:szCs w:val="28"/>
        </w:rPr>
        <w:t xml:space="preserve"> : </w:t>
      </w:r>
      <w:r w:rsidRPr="00D03C0F">
        <w:rPr>
          <w:rFonts w:asciiTheme="majorBidi" w:hAnsiTheme="majorBidi" w:cstheme="majorBidi"/>
          <w:sz w:val="28"/>
          <w:szCs w:val="28"/>
        </w:rPr>
        <w:t>sont difficiles à définir de manière très précise  ainsi la pluviosité dépend-elle aussi de facteurs microclimatique.</w:t>
      </w:r>
    </w:p>
    <w:p w:rsidR="00370CAC" w:rsidRDefault="00370CAC" w:rsidP="00370CAC">
      <w:pPr>
        <w:jc w:val="both"/>
        <w:rPr>
          <w:rFonts w:asciiTheme="majorBidi" w:hAnsiTheme="majorBidi" w:cstheme="majorBidi"/>
          <w:sz w:val="28"/>
          <w:szCs w:val="28"/>
        </w:rPr>
      </w:pPr>
      <w:r w:rsidRPr="003B1BED">
        <w:rPr>
          <w:rFonts w:asciiTheme="majorBidi" w:hAnsiTheme="majorBidi" w:cstheme="majorBidi"/>
          <w:sz w:val="28"/>
          <w:szCs w:val="28"/>
        </w:rPr>
        <w:t xml:space="preserve">La phytosociologie s’occupe de la reconnaissance, du classement, de l’étude écologique, de l’évolution et de la distribution des groupements végétaux forestiers. Cette définition fait apparaître l’aspect statique (reconnaissance et classement des groupements végétaux) et dynamique (évolution d’un groupement vers un autre) de la phytosociologie. </w:t>
      </w:r>
    </w:p>
    <w:p w:rsidR="00370CAC" w:rsidRDefault="00370CAC" w:rsidP="00370CAC">
      <w:pPr>
        <w:jc w:val="both"/>
        <w:rPr>
          <w:rFonts w:asciiTheme="majorBidi" w:hAnsiTheme="majorBidi" w:cstheme="majorBidi"/>
          <w:sz w:val="28"/>
          <w:szCs w:val="28"/>
        </w:rPr>
      </w:pPr>
      <w:r w:rsidRPr="003B1BED">
        <w:rPr>
          <w:rFonts w:asciiTheme="majorBidi" w:hAnsiTheme="majorBidi" w:cstheme="majorBidi"/>
          <w:sz w:val="28"/>
          <w:szCs w:val="28"/>
        </w:rPr>
        <w:t xml:space="preserve">Cette méthode d’étude de la végétation a été développé selon la conception de Josias Braun-Blanquet. Cette méthode a les faveurs des phytosociologues des régions tempérées d’Europe et est la plus largement utilisée. Les commutés végétales sont caractérisées par leur composition floristique. </w:t>
      </w:r>
    </w:p>
    <w:p w:rsidR="00370CAC" w:rsidRDefault="00370CAC" w:rsidP="00370CAC">
      <w:pPr>
        <w:jc w:val="both"/>
        <w:rPr>
          <w:rFonts w:asciiTheme="majorBidi" w:hAnsiTheme="majorBidi" w:cstheme="majorBidi"/>
          <w:sz w:val="28"/>
          <w:szCs w:val="28"/>
        </w:rPr>
      </w:pPr>
      <w:r w:rsidRPr="003B1BED">
        <w:rPr>
          <w:rFonts w:asciiTheme="majorBidi" w:hAnsiTheme="majorBidi" w:cstheme="majorBidi"/>
          <w:sz w:val="28"/>
          <w:szCs w:val="28"/>
        </w:rPr>
        <w:t>L’information est ici apportée par la réalisation de listes complètes sur une surface déterminé (= relevé). La composition des relevés permet de mettre en évidence que certaines espèces ont tendance à vivre en commun, se trouvant régulièrement réunies sur les diverses listes.</w:t>
      </w:r>
    </w:p>
    <w:p w:rsidR="00370CAC" w:rsidRDefault="00370CAC" w:rsidP="00370CAC">
      <w:pPr>
        <w:jc w:val="both"/>
        <w:rPr>
          <w:rFonts w:asciiTheme="majorBidi" w:hAnsiTheme="majorBidi" w:cstheme="majorBidi"/>
          <w:sz w:val="28"/>
          <w:szCs w:val="28"/>
        </w:rPr>
      </w:pPr>
      <w:r w:rsidRPr="003B1BED">
        <w:rPr>
          <w:rFonts w:asciiTheme="majorBidi" w:hAnsiTheme="majorBidi" w:cstheme="majorBidi"/>
          <w:sz w:val="28"/>
          <w:szCs w:val="28"/>
        </w:rPr>
        <w:t xml:space="preserve"> La notion de l’association se déduit de la comparaison d’un grand nombre de relevés, elle est donc définit par la présence fréquente, mais non obligatoire, de certaines espèces dites caractéristiques. D’autres part beaucoup d’espèces ont une large amplitude écologique leur permettent de s’adapter à des conditions stationnelles, ce sont des espèces accidentelles. Selon l’intensité avec laquelle une espèce est liée à une association on distingue : </w:t>
      </w:r>
    </w:p>
    <w:p w:rsidR="00370CAC" w:rsidRDefault="00370CAC" w:rsidP="00370CAC">
      <w:pPr>
        <w:jc w:val="both"/>
        <w:rPr>
          <w:rFonts w:asciiTheme="majorBidi" w:hAnsiTheme="majorBidi" w:cstheme="majorBidi"/>
          <w:sz w:val="28"/>
          <w:szCs w:val="28"/>
        </w:rPr>
      </w:pPr>
      <w:r w:rsidRPr="003B1BED">
        <w:rPr>
          <w:rFonts w:asciiTheme="majorBidi" w:hAnsiTheme="majorBidi" w:cstheme="majorBidi"/>
          <w:sz w:val="28"/>
          <w:szCs w:val="28"/>
        </w:rPr>
        <w:t xml:space="preserve">*Des espèces caractéristiques </w:t>
      </w:r>
      <w:r w:rsidRPr="009E2384">
        <w:rPr>
          <w:rFonts w:asciiTheme="majorBidi" w:hAnsiTheme="majorBidi" w:cstheme="majorBidi"/>
          <w:b/>
          <w:bCs/>
          <w:sz w:val="28"/>
          <w:szCs w:val="28"/>
        </w:rPr>
        <w:t xml:space="preserve">exclusives </w:t>
      </w:r>
      <w:r w:rsidRPr="003B1BED">
        <w:rPr>
          <w:rFonts w:asciiTheme="majorBidi" w:hAnsiTheme="majorBidi" w:cstheme="majorBidi"/>
          <w:sz w:val="28"/>
          <w:szCs w:val="28"/>
        </w:rPr>
        <w:t xml:space="preserve">d’une association : </w:t>
      </w:r>
      <w:r>
        <w:rPr>
          <w:rFonts w:asciiTheme="majorBidi" w:hAnsiTheme="majorBidi" w:cstheme="majorBidi"/>
          <w:sz w:val="28"/>
          <w:szCs w:val="28"/>
        </w:rPr>
        <w:t>el</w:t>
      </w:r>
      <w:r w:rsidRPr="003B1BED">
        <w:rPr>
          <w:rFonts w:asciiTheme="majorBidi" w:hAnsiTheme="majorBidi" w:cstheme="majorBidi"/>
          <w:sz w:val="28"/>
          <w:szCs w:val="28"/>
        </w:rPr>
        <w:t>l</w:t>
      </w:r>
      <w:r>
        <w:rPr>
          <w:rFonts w:asciiTheme="majorBidi" w:hAnsiTheme="majorBidi" w:cstheme="majorBidi"/>
          <w:sz w:val="28"/>
          <w:szCs w:val="28"/>
        </w:rPr>
        <w:t>e</w:t>
      </w:r>
      <w:r w:rsidRPr="003B1BED">
        <w:rPr>
          <w:rFonts w:asciiTheme="majorBidi" w:hAnsiTheme="majorBidi" w:cstheme="majorBidi"/>
          <w:sz w:val="28"/>
          <w:szCs w:val="28"/>
        </w:rPr>
        <w:t xml:space="preserve">s appartiennent uniquement à cette association. </w:t>
      </w:r>
    </w:p>
    <w:p w:rsidR="00370CAC" w:rsidRDefault="00370CAC" w:rsidP="00370CAC">
      <w:pPr>
        <w:jc w:val="both"/>
        <w:rPr>
          <w:rFonts w:asciiTheme="majorBidi" w:hAnsiTheme="majorBidi" w:cstheme="majorBidi"/>
          <w:sz w:val="28"/>
          <w:szCs w:val="28"/>
        </w:rPr>
      </w:pPr>
      <w:r w:rsidRPr="003B1BED">
        <w:rPr>
          <w:rFonts w:asciiTheme="majorBidi" w:hAnsiTheme="majorBidi" w:cstheme="majorBidi"/>
          <w:sz w:val="28"/>
          <w:szCs w:val="28"/>
        </w:rPr>
        <w:t xml:space="preserve">*Des espèces caractéristiques </w:t>
      </w:r>
      <w:r w:rsidRPr="009E2384">
        <w:rPr>
          <w:rFonts w:asciiTheme="majorBidi" w:hAnsiTheme="majorBidi" w:cstheme="majorBidi"/>
          <w:b/>
          <w:bCs/>
          <w:sz w:val="28"/>
          <w:szCs w:val="28"/>
        </w:rPr>
        <w:t>préférantes</w:t>
      </w:r>
      <w:r w:rsidRPr="003B1BED">
        <w:rPr>
          <w:rFonts w:asciiTheme="majorBidi" w:hAnsiTheme="majorBidi" w:cstheme="majorBidi"/>
          <w:sz w:val="28"/>
          <w:szCs w:val="28"/>
        </w:rPr>
        <w:t xml:space="preserve"> d’une association : elles existent dans plusieurs associations mais préfèrent l’une d’entre elles. </w:t>
      </w:r>
    </w:p>
    <w:p w:rsidR="00370CAC" w:rsidRDefault="00370CAC" w:rsidP="00370CAC">
      <w:pPr>
        <w:jc w:val="both"/>
        <w:rPr>
          <w:rFonts w:asciiTheme="majorBidi" w:hAnsiTheme="majorBidi" w:cstheme="majorBidi"/>
          <w:sz w:val="28"/>
          <w:szCs w:val="28"/>
        </w:rPr>
      </w:pPr>
      <w:r w:rsidRPr="003B1BED">
        <w:rPr>
          <w:rFonts w:asciiTheme="majorBidi" w:hAnsiTheme="majorBidi" w:cstheme="majorBidi"/>
          <w:sz w:val="28"/>
          <w:szCs w:val="28"/>
        </w:rPr>
        <w:t xml:space="preserve">*Des espèces </w:t>
      </w:r>
      <w:r w:rsidRPr="009E2384">
        <w:rPr>
          <w:rFonts w:asciiTheme="majorBidi" w:hAnsiTheme="majorBidi" w:cstheme="majorBidi"/>
          <w:b/>
          <w:bCs/>
          <w:sz w:val="28"/>
          <w:szCs w:val="28"/>
        </w:rPr>
        <w:t>indifférentes</w:t>
      </w:r>
      <w:r w:rsidRPr="003B1BED">
        <w:rPr>
          <w:rFonts w:asciiTheme="majorBidi" w:hAnsiTheme="majorBidi" w:cstheme="majorBidi"/>
          <w:sz w:val="28"/>
          <w:szCs w:val="28"/>
        </w:rPr>
        <w:t xml:space="preserve"> ou </w:t>
      </w:r>
      <w:r w:rsidRPr="009E2384">
        <w:rPr>
          <w:rFonts w:asciiTheme="majorBidi" w:hAnsiTheme="majorBidi" w:cstheme="majorBidi"/>
          <w:b/>
          <w:bCs/>
          <w:sz w:val="28"/>
          <w:szCs w:val="28"/>
        </w:rPr>
        <w:t>compagnes</w:t>
      </w:r>
      <w:r w:rsidRPr="003B1BED">
        <w:rPr>
          <w:rFonts w:asciiTheme="majorBidi" w:hAnsiTheme="majorBidi" w:cstheme="majorBidi"/>
          <w:sz w:val="28"/>
          <w:szCs w:val="28"/>
        </w:rPr>
        <w:t xml:space="preserve"> : elles peuvent exister indifféremment dans plusieurs associations. </w:t>
      </w:r>
    </w:p>
    <w:p w:rsidR="00370CAC" w:rsidRDefault="00370CAC" w:rsidP="00370CAC">
      <w:pPr>
        <w:jc w:val="both"/>
        <w:rPr>
          <w:rFonts w:asciiTheme="majorBidi" w:hAnsiTheme="majorBidi" w:cstheme="majorBidi"/>
          <w:sz w:val="28"/>
          <w:szCs w:val="28"/>
        </w:rPr>
      </w:pPr>
      <w:r w:rsidRPr="003B1BED">
        <w:rPr>
          <w:rFonts w:asciiTheme="majorBidi" w:hAnsiTheme="majorBidi" w:cstheme="majorBidi"/>
          <w:sz w:val="28"/>
          <w:szCs w:val="28"/>
        </w:rPr>
        <w:t xml:space="preserve">*Des espèces </w:t>
      </w:r>
      <w:r w:rsidRPr="009E2384">
        <w:rPr>
          <w:rFonts w:asciiTheme="majorBidi" w:hAnsiTheme="majorBidi" w:cstheme="majorBidi"/>
          <w:b/>
          <w:bCs/>
          <w:sz w:val="28"/>
          <w:szCs w:val="28"/>
        </w:rPr>
        <w:t>accidentelles</w:t>
      </w:r>
      <w:r w:rsidRPr="003B1BED">
        <w:rPr>
          <w:rFonts w:asciiTheme="majorBidi" w:hAnsiTheme="majorBidi" w:cstheme="majorBidi"/>
          <w:sz w:val="28"/>
          <w:szCs w:val="28"/>
        </w:rPr>
        <w:t xml:space="preserve"> ou </w:t>
      </w:r>
      <w:r w:rsidRPr="009E2384">
        <w:rPr>
          <w:rFonts w:asciiTheme="majorBidi" w:hAnsiTheme="majorBidi" w:cstheme="majorBidi"/>
          <w:b/>
          <w:bCs/>
          <w:sz w:val="28"/>
          <w:szCs w:val="28"/>
        </w:rPr>
        <w:t>étrangères</w:t>
      </w:r>
      <w:r w:rsidRPr="003B1BED">
        <w:rPr>
          <w:rFonts w:asciiTheme="majorBidi" w:hAnsiTheme="majorBidi" w:cstheme="majorBidi"/>
          <w:sz w:val="28"/>
          <w:szCs w:val="28"/>
        </w:rPr>
        <w:t xml:space="preserve"> : elles se retrouvent accidentellement dans une association.</w:t>
      </w:r>
    </w:p>
    <w:p w:rsidR="00370CAC" w:rsidRPr="00526E83" w:rsidRDefault="00370CAC" w:rsidP="00370CAC">
      <w:pPr>
        <w:rPr>
          <w:rFonts w:asciiTheme="majorBidi" w:hAnsiTheme="majorBidi" w:cstheme="majorBidi"/>
          <w:b/>
          <w:bCs/>
          <w:sz w:val="28"/>
          <w:szCs w:val="28"/>
        </w:rPr>
      </w:pPr>
      <w:r w:rsidRPr="00526E83">
        <w:rPr>
          <w:rFonts w:asciiTheme="majorBidi" w:hAnsiTheme="majorBidi" w:cstheme="majorBidi"/>
          <w:b/>
          <w:bCs/>
          <w:sz w:val="28"/>
          <w:szCs w:val="28"/>
        </w:rPr>
        <w:t>III.1.5. Différentes zoocénoses en fonction des formations végétales</w:t>
      </w:r>
    </w:p>
    <w:p w:rsidR="00370CAC" w:rsidRDefault="00370CAC" w:rsidP="00370CAC">
      <w:pPr>
        <w:tabs>
          <w:tab w:val="left" w:pos="1075"/>
        </w:tabs>
        <w:jc w:val="both"/>
        <w:rPr>
          <w:rFonts w:asciiTheme="majorBidi" w:hAnsiTheme="majorBidi" w:cstheme="majorBidi"/>
          <w:sz w:val="28"/>
          <w:szCs w:val="28"/>
        </w:rPr>
      </w:pPr>
      <w:r w:rsidRPr="004E1572">
        <w:rPr>
          <w:rFonts w:asciiTheme="majorBidi" w:hAnsiTheme="majorBidi" w:cstheme="majorBidi"/>
          <w:sz w:val="28"/>
          <w:szCs w:val="28"/>
        </w:rPr>
        <w:t xml:space="preserve">Le terme </w:t>
      </w:r>
      <w:r w:rsidRPr="009E2384">
        <w:rPr>
          <w:rFonts w:asciiTheme="majorBidi" w:hAnsiTheme="majorBidi" w:cstheme="majorBidi"/>
          <w:b/>
          <w:bCs/>
          <w:sz w:val="28"/>
          <w:szCs w:val="28"/>
        </w:rPr>
        <w:t>zoocénose</w:t>
      </w:r>
      <w:r w:rsidRPr="004E1572">
        <w:rPr>
          <w:rFonts w:asciiTheme="majorBidi" w:hAnsiTheme="majorBidi" w:cstheme="majorBidi"/>
          <w:sz w:val="28"/>
          <w:szCs w:val="28"/>
        </w:rPr>
        <w:t xml:space="preserve"> désigne la composante animale d’une biocénose c'est-à-dire l’ensemble des populations d’animaux qu’elle renferme. La stratification des</w:t>
      </w:r>
      <w:r>
        <w:rPr>
          <w:rFonts w:asciiTheme="majorBidi" w:hAnsiTheme="majorBidi" w:cstheme="majorBidi"/>
          <w:sz w:val="28"/>
          <w:szCs w:val="28"/>
        </w:rPr>
        <w:t xml:space="preserve"> </w:t>
      </w:r>
      <w:r w:rsidRPr="004E1572">
        <w:rPr>
          <w:rFonts w:asciiTheme="majorBidi" w:hAnsiTheme="majorBidi" w:cstheme="majorBidi"/>
          <w:sz w:val="28"/>
          <w:szCs w:val="28"/>
        </w:rPr>
        <w:t xml:space="preserve">peuplements animaux, ainsi que celle des zoocénoses tout entières, est très </w:t>
      </w:r>
      <w:r>
        <w:rPr>
          <w:rFonts w:asciiTheme="majorBidi" w:hAnsiTheme="majorBidi" w:cstheme="majorBidi"/>
          <w:sz w:val="28"/>
          <w:szCs w:val="28"/>
        </w:rPr>
        <w:t xml:space="preserve">marquée en règle générale, plus </w:t>
      </w:r>
      <w:r w:rsidRPr="004E1572">
        <w:rPr>
          <w:rFonts w:asciiTheme="majorBidi" w:hAnsiTheme="majorBidi" w:cstheme="majorBidi"/>
          <w:sz w:val="28"/>
          <w:szCs w:val="28"/>
        </w:rPr>
        <w:t xml:space="preserve">particulièrement dans les écosystèmes forestiers. </w:t>
      </w:r>
    </w:p>
    <w:p w:rsidR="00370CAC" w:rsidRPr="004E1572" w:rsidRDefault="00370CAC" w:rsidP="00370CAC">
      <w:pPr>
        <w:tabs>
          <w:tab w:val="left" w:pos="1075"/>
        </w:tabs>
        <w:jc w:val="both"/>
        <w:rPr>
          <w:rFonts w:asciiTheme="majorBidi" w:hAnsiTheme="majorBidi" w:cstheme="majorBidi"/>
          <w:sz w:val="28"/>
          <w:szCs w:val="28"/>
        </w:rPr>
      </w:pPr>
      <w:r w:rsidRPr="004E1572">
        <w:rPr>
          <w:rFonts w:asciiTheme="majorBidi" w:hAnsiTheme="majorBidi" w:cstheme="majorBidi"/>
          <w:sz w:val="28"/>
          <w:szCs w:val="28"/>
        </w:rPr>
        <w:t>Fort évidente dans le cas de la structure verticale des peuplements d’oiseaux, cette stratification existe pour de nombreux groupes constituant la zoocénose, en particulier chez les mammifères. Elle est associée à l’exploitation des niches trophiques respectives de diverses espèces que comportent ces peuplements.</w:t>
      </w:r>
    </w:p>
    <w:p w:rsidR="00370CAC" w:rsidRPr="00855978" w:rsidRDefault="00370CAC" w:rsidP="00370CAC">
      <w:pPr>
        <w:jc w:val="both"/>
        <w:rPr>
          <w:rFonts w:asciiTheme="majorBidi" w:hAnsiTheme="majorBidi" w:cstheme="majorBidi"/>
          <w:sz w:val="28"/>
          <w:szCs w:val="28"/>
        </w:rPr>
      </w:pPr>
      <w:r w:rsidRPr="00855978">
        <w:rPr>
          <w:rFonts w:asciiTheme="majorBidi" w:hAnsiTheme="majorBidi" w:cstheme="majorBidi"/>
          <w:sz w:val="28"/>
          <w:szCs w:val="28"/>
        </w:rPr>
        <w:t xml:space="preserve">Dans une  forêt, les gros arbres, surtout les bois sénescents ou dépérissants, présentent fréquemment  des cavités sur le tronc et les branches. Ces altérations forment des milieux de vie différents qui abritent une très grande diversité d’espèces qui participent pour la plupart d’entre elles au bon fonctionnement et à l’équilibre de l’écosystème forestier : </w:t>
      </w:r>
    </w:p>
    <w:p w:rsidR="00370CAC" w:rsidRPr="00855978" w:rsidRDefault="00370CAC" w:rsidP="00370CAC">
      <w:pPr>
        <w:rPr>
          <w:rFonts w:asciiTheme="majorBidi" w:hAnsiTheme="majorBidi" w:cstheme="majorBidi"/>
          <w:sz w:val="28"/>
          <w:szCs w:val="28"/>
        </w:rPr>
      </w:pPr>
      <w:r w:rsidRPr="00855978">
        <w:rPr>
          <w:rFonts w:asciiTheme="majorBidi" w:hAnsiTheme="majorBidi" w:cstheme="majorBidi"/>
          <w:sz w:val="28"/>
          <w:szCs w:val="28"/>
        </w:rPr>
        <w:t xml:space="preserve">-  Trous de pics, fissures : les nombreux oiseaux cavicoles, soit 41 % des 68 espèces d’oiseaux strictement forestiers et les chauves-souris qui les fréquentent sont, entre autres, des prédateurs importants des insectes défoliateurs, </w:t>
      </w:r>
    </w:p>
    <w:p w:rsidR="00370CAC" w:rsidRPr="00855978" w:rsidRDefault="00370CAC" w:rsidP="00370CAC">
      <w:pPr>
        <w:rPr>
          <w:rFonts w:asciiTheme="majorBidi" w:hAnsiTheme="majorBidi" w:cstheme="majorBidi"/>
          <w:sz w:val="28"/>
          <w:szCs w:val="28"/>
        </w:rPr>
      </w:pPr>
      <w:r w:rsidRPr="00855978">
        <w:rPr>
          <w:rFonts w:asciiTheme="majorBidi" w:hAnsiTheme="majorBidi" w:cstheme="majorBidi"/>
          <w:sz w:val="28"/>
          <w:szCs w:val="28"/>
        </w:rPr>
        <w:t xml:space="preserve">- Arbres foudroyés, branches mortes en cime, bois écorcés, pourritures, cavités de pied remplies d’eau : </w:t>
      </w:r>
    </w:p>
    <w:p w:rsidR="00370CAC" w:rsidRDefault="00370CAC" w:rsidP="00370CAC">
      <w:pPr>
        <w:jc w:val="both"/>
        <w:rPr>
          <w:rFonts w:asciiTheme="majorBidi" w:hAnsiTheme="majorBidi" w:cstheme="majorBidi"/>
          <w:sz w:val="28"/>
          <w:szCs w:val="28"/>
        </w:rPr>
      </w:pPr>
      <w:r w:rsidRPr="00855978">
        <w:rPr>
          <w:rFonts w:asciiTheme="majorBidi" w:hAnsiTheme="majorBidi" w:cstheme="majorBidi"/>
          <w:sz w:val="28"/>
          <w:szCs w:val="28"/>
        </w:rPr>
        <w:t>Ils hébergent une multitude d’insectes, de champignons qui sont au début du cycle de décomposition du bois.</w:t>
      </w:r>
    </w:p>
    <w:p w:rsidR="00370CAC" w:rsidRPr="00855978" w:rsidRDefault="00370CAC" w:rsidP="00370CAC">
      <w:pPr>
        <w:jc w:val="both"/>
        <w:rPr>
          <w:rFonts w:asciiTheme="majorBidi" w:hAnsiTheme="majorBidi" w:cstheme="majorBidi"/>
          <w:sz w:val="28"/>
          <w:szCs w:val="28"/>
        </w:rPr>
      </w:pPr>
      <w:r w:rsidRPr="00855978">
        <w:rPr>
          <w:rFonts w:asciiTheme="majorBidi" w:hAnsiTheme="majorBidi" w:cstheme="majorBidi"/>
          <w:sz w:val="28"/>
          <w:szCs w:val="28"/>
        </w:rPr>
        <w:t>Le pourcentage d’arbres porteurs de ces micro-habitats et leur nombre augmentent avec la grosseur des bois. Certains insectes à cycle de vie étalé sur plusieurs années (stade larvaire) ne se développent que sur des gros arbres morts d’au moins 150 cm de circonférence qui mettent beaucoup</w:t>
      </w:r>
      <w:r>
        <w:rPr>
          <w:rFonts w:asciiTheme="majorBidi" w:hAnsiTheme="majorBidi" w:cstheme="majorBidi"/>
          <w:sz w:val="28"/>
          <w:szCs w:val="28"/>
        </w:rPr>
        <w:t xml:space="preserve"> </w:t>
      </w:r>
      <w:r w:rsidRPr="00855978">
        <w:rPr>
          <w:rFonts w:asciiTheme="majorBidi" w:hAnsiTheme="majorBidi" w:cstheme="majorBidi"/>
          <w:sz w:val="28"/>
          <w:szCs w:val="28"/>
        </w:rPr>
        <w:t xml:space="preserve">de temps à se décomposer (plus de 10 ans). </w:t>
      </w:r>
    </w:p>
    <w:p w:rsidR="00370CAC" w:rsidRDefault="00370CAC" w:rsidP="00370CAC">
      <w:pPr>
        <w:jc w:val="both"/>
        <w:rPr>
          <w:rFonts w:asciiTheme="majorBidi" w:hAnsiTheme="majorBidi" w:cstheme="majorBidi"/>
          <w:sz w:val="28"/>
          <w:szCs w:val="28"/>
        </w:rPr>
      </w:pPr>
      <w:r w:rsidRPr="00855978">
        <w:rPr>
          <w:rFonts w:asciiTheme="majorBidi" w:hAnsiTheme="majorBidi" w:cstheme="majorBidi"/>
          <w:sz w:val="28"/>
          <w:szCs w:val="28"/>
        </w:rPr>
        <w:t>La présence de plantes épiphytes (mousses, lichens, fougères) et de lierre sur les troncs des arbres vivants ou dépérissant crée également des milieux particuliers favorables à certains oiseaux et</w:t>
      </w:r>
      <w:r>
        <w:rPr>
          <w:rFonts w:asciiTheme="majorBidi" w:hAnsiTheme="majorBidi" w:cstheme="majorBidi"/>
          <w:sz w:val="28"/>
          <w:szCs w:val="28"/>
        </w:rPr>
        <w:t xml:space="preserve"> </w:t>
      </w:r>
      <w:r w:rsidRPr="00855978">
        <w:rPr>
          <w:rFonts w:asciiTheme="majorBidi" w:hAnsiTheme="majorBidi" w:cstheme="majorBidi"/>
          <w:sz w:val="28"/>
          <w:szCs w:val="28"/>
        </w:rPr>
        <w:t>à de nombreux très petits animaux.</w:t>
      </w:r>
    </w:p>
    <w:p w:rsidR="00370CAC" w:rsidRPr="00BF4ABF" w:rsidRDefault="00370CAC" w:rsidP="00370CAC">
      <w:pPr>
        <w:rPr>
          <w:rFonts w:asciiTheme="majorBidi" w:hAnsiTheme="majorBidi" w:cstheme="majorBidi"/>
          <w:sz w:val="28"/>
          <w:szCs w:val="28"/>
        </w:rPr>
      </w:pPr>
    </w:p>
    <w:p w:rsidR="00370CAC" w:rsidRDefault="00370CAC" w:rsidP="00370CAC">
      <w:pPr>
        <w:rPr>
          <w:rFonts w:asciiTheme="majorBidi" w:hAnsiTheme="majorBidi" w:cstheme="majorBidi"/>
          <w:sz w:val="28"/>
          <w:szCs w:val="28"/>
        </w:rPr>
      </w:pPr>
      <w:r>
        <w:rPr>
          <w:noProof/>
          <w:lang w:eastAsia="fr-FR"/>
        </w:rPr>
        <w:drawing>
          <wp:inline distT="0" distB="0" distL="0" distR="0" wp14:anchorId="30BA2592" wp14:editId="70401386">
            <wp:extent cx="5760720" cy="4668659"/>
            <wp:effectExtent l="0" t="0" r="0" b="0"/>
            <wp:docPr id="12" name="Image 12" descr="https://svtlyceedevienne.files.wordpress.com/2020/08/ecosyst_foret.gif?w=14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tlyceedevienne.files.wordpress.com/2020/08/ecosyst_foret.gif?w=1400&amp;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668659"/>
                    </a:xfrm>
                    <a:prstGeom prst="rect">
                      <a:avLst/>
                    </a:prstGeom>
                    <a:noFill/>
                    <a:ln>
                      <a:noFill/>
                    </a:ln>
                  </pic:spPr>
                </pic:pic>
              </a:graphicData>
            </a:graphic>
          </wp:inline>
        </w:drawing>
      </w:r>
    </w:p>
    <w:p w:rsidR="00370CAC" w:rsidRDefault="00370CAC" w:rsidP="00370CAC">
      <w:pPr>
        <w:rPr>
          <w:rFonts w:asciiTheme="majorBidi" w:hAnsiTheme="majorBidi" w:cstheme="majorBidi"/>
          <w:sz w:val="28"/>
          <w:szCs w:val="28"/>
        </w:rPr>
      </w:pPr>
    </w:p>
    <w:p w:rsidR="00370CAC" w:rsidRPr="009E2384" w:rsidRDefault="00370CAC" w:rsidP="00370CAC">
      <w:pPr>
        <w:tabs>
          <w:tab w:val="left" w:pos="1075"/>
        </w:tabs>
        <w:jc w:val="center"/>
        <w:rPr>
          <w:rFonts w:asciiTheme="majorBidi" w:hAnsiTheme="majorBidi" w:cstheme="majorBidi"/>
          <w:sz w:val="28"/>
          <w:szCs w:val="28"/>
        </w:rPr>
      </w:pPr>
      <w:r w:rsidRPr="009E2384">
        <w:rPr>
          <w:rFonts w:asciiTheme="majorBidi" w:hAnsiTheme="majorBidi" w:cstheme="majorBidi"/>
          <w:b/>
          <w:bCs/>
          <w:sz w:val="28"/>
          <w:szCs w:val="28"/>
        </w:rPr>
        <w:t xml:space="preserve">Figure </w:t>
      </w:r>
      <w:r>
        <w:rPr>
          <w:rFonts w:asciiTheme="majorBidi" w:hAnsiTheme="majorBidi" w:cstheme="majorBidi"/>
          <w:b/>
          <w:bCs/>
          <w:sz w:val="28"/>
          <w:szCs w:val="28"/>
        </w:rPr>
        <w:t>19</w:t>
      </w:r>
      <w:r w:rsidRPr="009E2384">
        <w:rPr>
          <w:rFonts w:asciiTheme="majorBidi" w:hAnsiTheme="majorBidi" w:cstheme="majorBidi"/>
          <w:b/>
          <w:bCs/>
          <w:sz w:val="28"/>
          <w:szCs w:val="28"/>
        </w:rPr>
        <w:t xml:space="preserve"> :</w:t>
      </w:r>
      <w:r w:rsidRPr="00405F29">
        <w:rPr>
          <w:rFonts w:asciiTheme="majorBidi" w:hAnsiTheme="majorBidi" w:cstheme="majorBidi"/>
          <w:sz w:val="28"/>
          <w:szCs w:val="28"/>
        </w:rPr>
        <w:t xml:space="preserve"> Répartition des différentes espèces animales dans une forêt  </w:t>
      </w:r>
      <w:r w:rsidRPr="009E2384">
        <w:rPr>
          <w:rFonts w:asciiTheme="majorBidi" w:hAnsiTheme="majorBidi" w:cstheme="majorBidi"/>
          <w:sz w:val="28"/>
          <w:szCs w:val="28"/>
        </w:rPr>
        <w:t>(</w:t>
      </w:r>
      <w:hyperlink r:id="rId21" w:history="1">
        <w:r w:rsidRPr="009E2384">
          <w:rPr>
            <w:rStyle w:val="Lienhypertexte"/>
            <w:rFonts w:asciiTheme="majorBidi" w:hAnsiTheme="majorBidi" w:cstheme="majorBidi"/>
            <w:sz w:val="28"/>
            <w:szCs w:val="28"/>
          </w:rPr>
          <w:t>https://svtlyceedevienne.com/</w:t>
        </w:r>
      </w:hyperlink>
      <w:r w:rsidRPr="009E2384">
        <w:rPr>
          <w:rFonts w:asciiTheme="majorBidi" w:hAnsiTheme="majorBidi" w:cstheme="majorBidi"/>
          <w:sz w:val="28"/>
          <w:szCs w:val="28"/>
        </w:rPr>
        <w:t>)</w:t>
      </w:r>
    </w:p>
    <w:p w:rsidR="00370CAC" w:rsidRDefault="00370CAC" w:rsidP="00370CAC">
      <w:pPr>
        <w:tabs>
          <w:tab w:val="left" w:pos="1075"/>
        </w:tabs>
        <w:rPr>
          <w:rFonts w:asciiTheme="majorBidi" w:hAnsiTheme="majorBidi" w:cstheme="majorBidi"/>
          <w:b/>
          <w:bCs/>
          <w:sz w:val="28"/>
          <w:szCs w:val="28"/>
        </w:rPr>
      </w:pPr>
      <w:r w:rsidRPr="00BF4ABF">
        <w:rPr>
          <w:rFonts w:asciiTheme="majorBidi" w:hAnsiTheme="majorBidi" w:cstheme="majorBidi"/>
          <w:b/>
          <w:bCs/>
          <w:sz w:val="28"/>
          <w:szCs w:val="28"/>
        </w:rPr>
        <w:t>III.2. Méthodes quantitatives</w:t>
      </w:r>
    </w:p>
    <w:p w:rsidR="00370CAC" w:rsidRPr="00EF7F7A" w:rsidRDefault="00370CAC" w:rsidP="00370CAC">
      <w:pPr>
        <w:tabs>
          <w:tab w:val="left" w:pos="1075"/>
        </w:tabs>
        <w:jc w:val="both"/>
        <w:rPr>
          <w:rFonts w:asciiTheme="majorBidi" w:hAnsiTheme="majorBidi" w:cstheme="majorBidi"/>
          <w:sz w:val="28"/>
          <w:szCs w:val="28"/>
        </w:rPr>
      </w:pPr>
      <w:r w:rsidRPr="00EF7F7A">
        <w:rPr>
          <w:rFonts w:asciiTheme="majorBidi" w:hAnsiTheme="majorBidi" w:cstheme="majorBidi"/>
          <w:sz w:val="28"/>
          <w:szCs w:val="28"/>
        </w:rPr>
        <w:t xml:space="preserve">Ces méthodes se basent sur la mesure de la biomasse (matière végétale sèche par unité de surface), par exemple pour estimer la valeur pastorale d’une prairie. Lourdes à mettre en place, elles sont donc rarement utilisées, mais peuvent par exemple servir de méthode de suivi de l’évolution d’une prairie reconstituée, ou de l’effet des mesures de gestion.  </w:t>
      </w:r>
    </w:p>
    <w:p w:rsidR="00370CAC" w:rsidRDefault="00370CAC" w:rsidP="00370CAC">
      <w:pPr>
        <w:tabs>
          <w:tab w:val="left" w:pos="1075"/>
        </w:tabs>
        <w:rPr>
          <w:rFonts w:asciiTheme="majorBidi" w:hAnsiTheme="majorBidi" w:cstheme="majorBidi"/>
          <w:b/>
          <w:bCs/>
          <w:sz w:val="28"/>
          <w:szCs w:val="28"/>
        </w:rPr>
      </w:pPr>
      <w:r w:rsidRPr="002A2E4B">
        <w:rPr>
          <w:rFonts w:asciiTheme="majorBidi" w:hAnsiTheme="majorBidi" w:cstheme="majorBidi"/>
          <w:b/>
          <w:bCs/>
          <w:sz w:val="28"/>
          <w:szCs w:val="28"/>
        </w:rPr>
        <w:t xml:space="preserve">III.2.1. Analyse  linéaire </w:t>
      </w:r>
      <w:r>
        <w:rPr>
          <w:rFonts w:asciiTheme="majorBidi" w:hAnsiTheme="majorBidi" w:cstheme="majorBidi"/>
          <w:b/>
          <w:bCs/>
          <w:sz w:val="28"/>
          <w:szCs w:val="28"/>
        </w:rPr>
        <w:t>(</w:t>
      </w:r>
      <w:r w:rsidRPr="004C58EC">
        <w:rPr>
          <w:rFonts w:asciiTheme="majorBidi" w:hAnsiTheme="majorBidi" w:cstheme="majorBidi"/>
          <w:b/>
          <w:bCs/>
          <w:sz w:val="28"/>
          <w:szCs w:val="28"/>
        </w:rPr>
        <w:t>La "Loop method"</w:t>
      </w:r>
      <w:r>
        <w:rPr>
          <w:rFonts w:asciiTheme="majorBidi" w:hAnsiTheme="majorBidi" w:cstheme="majorBidi"/>
          <w:b/>
          <w:bCs/>
          <w:sz w:val="28"/>
          <w:szCs w:val="28"/>
        </w:rPr>
        <w:t>)</w:t>
      </w:r>
    </w:p>
    <w:p w:rsidR="00370CAC" w:rsidRDefault="00370CAC" w:rsidP="00370CAC">
      <w:pPr>
        <w:tabs>
          <w:tab w:val="left" w:pos="1075"/>
        </w:tabs>
        <w:jc w:val="both"/>
        <w:rPr>
          <w:rFonts w:asciiTheme="majorBidi" w:hAnsiTheme="majorBidi" w:cstheme="majorBidi"/>
          <w:sz w:val="28"/>
          <w:szCs w:val="28"/>
        </w:rPr>
      </w:pPr>
      <w:r w:rsidRPr="004C58EC">
        <w:rPr>
          <w:rFonts w:asciiTheme="majorBidi" w:hAnsiTheme="majorBidi" w:cstheme="majorBidi"/>
          <w:sz w:val="28"/>
          <w:szCs w:val="28"/>
        </w:rPr>
        <w:t>La "Loop method" est un moyen simple d'analyse de la végétation pastorale ne</w:t>
      </w:r>
      <w:r>
        <w:rPr>
          <w:rFonts w:asciiTheme="majorBidi" w:hAnsiTheme="majorBidi" w:cstheme="majorBidi"/>
          <w:sz w:val="28"/>
          <w:szCs w:val="28"/>
        </w:rPr>
        <w:t xml:space="preserve"> </w:t>
      </w:r>
      <w:r w:rsidRPr="004C58EC">
        <w:rPr>
          <w:rFonts w:asciiTheme="majorBidi" w:hAnsiTheme="majorBidi" w:cstheme="majorBidi"/>
          <w:sz w:val="28"/>
          <w:szCs w:val="28"/>
        </w:rPr>
        <w:t>nécessitant que peu de moyens matériels : deux "fiches d'arpenteur", une règle graduée. Du</w:t>
      </w:r>
      <w:r>
        <w:rPr>
          <w:rFonts w:asciiTheme="majorBidi" w:hAnsiTheme="majorBidi" w:cstheme="majorBidi"/>
          <w:sz w:val="28"/>
          <w:szCs w:val="28"/>
        </w:rPr>
        <w:t xml:space="preserve"> </w:t>
      </w:r>
      <w:r w:rsidRPr="004C58EC">
        <w:rPr>
          <w:rFonts w:asciiTheme="majorBidi" w:hAnsiTheme="majorBidi" w:cstheme="majorBidi"/>
          <w:sz w:val="28"/>
          <w:szCs w:val="28"/>
        </w:rPr>
        <w:t>commerce ou fabriquée exprès à partir d'un tasseau gradué, un anneau de 2 cm de diamètre</w:t>
      </w:r>
      <w:r>
        <w:rPr>
          <w:rFonts w:asciiTheme="majorBidi" w:hAnsiTheme="majorBidi" w:cstheme="majorBidi"/>
          <w:sz w:val="28"/>
          <w:szCs w:val="28"/>
        </w:rPr>
        <w:t xml:space="preserve"> </w:t>
      </w:r>
      <w:r w:rsidRPr="004C58EC">
        <w:rPr>
          <w:rFonts w:asciiTheme="majorBidi" w:hAnsiTheme="majorBidi" w:cstheme="majorBidi"/>
          <w:sz w:val="28"/>
          <w:szCs w:val="28"/>
        </w:rPr>
        <w:t>brasé à une tige perpendiculaire à son plan et un</w:t>
      </w:r>
      <w:r>
        <w:rPr>
          <w:rFonts w:asciiTheme="majorBidi" w:hAnsiTheme="majorBidi" w:cstheme="majorBidi"/>
          <w:sz w:val="28"/>
          <w:szCs w:val="28"/>
        </w:rPr>
        <w:t xml:space="preserve"> </w:t>
      </w:r>
      <w:r w:rsidRPr="004C58EC">
        <w:rPr>
          <w:rFonts w:asciiTheme="majorBidi" w:hAnsiTheme="majorBidi" w:cstheme="majorBidi"/>
          <w:sz w:val="28"/>
          <w:szCs w:val="28"/>
        </w:rPr>
        <w:t xml:space="preserve">marteau. </w:t>
      </w:r>
    </w:p>
    <w:p w:rsidR="00370CAC" w:rsidRDefault="00370CAC" w:rsidP="00370CAC">
      <w:pPr>
        <w:tabs>
          <w:tab w:val="left" w:pos="1075"/>
        </w:tabs>
        <w:jc w:val="both"/>
        <w:rPr>
          <w:rFonts w:asciiTheme="majorBidi" w:hAnsiTheme="majorBidi" w:cstheme="majorBidi"/>
          <w:sz w:val="28"/>
          <w:szCs w:val="28"/>
        </w:rPr>
      </w:pPr>
      <w:r w:rsidRPr="004C58EC">
        <w:rPr>
          <w:rFonts w:asciiTheme="majorBidi" w:hAnsiTheme="majorBidi" w:cstheme="majorBidi"/>
          <w:sz w:val="28"/>
          <w:szCs w:val="28"/>
        </w:rPr>
        <w:t>Au moyen des deux fiches, la règle est fixée</w:t>
      </w:r>
      <w:r>
        <w:rPr>
          <w:rFonts w:asciiTheme="majorBidi" w:hAnsiTheme="majorBidi" w:cstheme="majorBidi"/>
          <w:sz w:val="28"/>
          <w:szCs w:val="28"/>
        </w:rPr>
        <w:t xml:space="preserve"> </w:t>
      </w:r>
      <w:r w:rsidRPr="004C58EC">
        <w:rPr>
          <w:rFonts w:asciiTheme="majorBidi" w:hAnsiTheme="majorBidi" w:cstheme="majorBidi"/>
          <w:sz w:val="28"/>
          <w:szCs w:val="28"/>
        </w:rPr>
        <w:t>parallèlement au sol. L'anneau, tenu à la main, est</w:t>
      </w:r>
      <w:r>
        <w:rPr>
          <w:rFonts w:asciiTheme="majorBidi" w:hAnsiTheme="majorBidi" w:cstheme="majorBidi"/>
          <w:sz w:val="28"/>
          <w:szCs w:val="28"/>
        </w:rPr>
        <w:t xml:space="preserve"> </w:t>
      </w:r>
      <w:r w:rsidRPr="004C58EC">
        <w:rPr>
          <w:rFonts w:asciiTheme="majorBidi" w:hAnsiTheme="majorBidi" w:cstheme="majorBidi"/>
          <w:sz w:val="28"/>
          <w:szCs w:val="28"/>
        </w:rPr>
        <w:t>descendu verticalement et les espèces dont un organe au</w:t>
      </w:r>
      <w:r>
        <w:rPr>
          <w:rFonts w:asciiTheme="majorBidi" w:hAnsiTheme="majorBidi" w:cstheme="majorBidi"/>
          <w:sz w:val="28"/>
          <w:szCs w:val="28"/>
        </w:rPr>
        <w:t xml:space="preserve"> </w:t>
      </w:r>
      <w:r w:rsidRPr="004C58EC">
        <w:rPr>
          <w:rFonts w:asciiTheme="majorBidi" w:hAnsiTheme="majorBidi" w:cstheme="majorBidi"/>
          <w:sz w:val="28"/>
          <w:szCs w:val="28"/>
        </w:rPr>
        <w:t>moins est visible à travers la bague sont notées ; les</w:t>
      </w:r>
      <w:r>
        <w:rPr>
          <w:rFonts w:asciiTheme="majorBidi" w:hAnsiTheme="majorBidi" w:cstheme="majorBidi"/>
          <w:sz w:val="28"/>
          <w:szCs w:val="28"/>
        </w:rPr>
        <w:t xml:space="preserve"> </w:t>
      </w:r>
      <w:r w:rsidRPr="004C58EC">
        <w:rPr>
          <w:rFonts w:asciiTheme="majorBidi" w:hAnsiTheme="majorBidi" w:cstheme="majorBidi"/>
          <w:sz w:val="28"/>
          <w:szCs w:val="28"/>
        </w:rPr>
        <w:t>organes végétaux doivent être retirés délicatement sur le</w:t>
      </w:r>
      <w:r>
        <w:rPr>
          <w:rFonts w:asciiTheme="majorBidi" w:hAnsiTheme="majorBidi" w:cstheme="majorBidi"/>
          <w:sz w:val="28"/>
          <w:szCs w:val="28"/>
        </w:rPr>
        <w:t xml:space="preserve"> </w:t>
      </w:r>
      <w:r w:rsidRPr="004C58EC">
        <w:rPr>
          <w:rFonts w:asciiTheme="majorBidi" w:hAnsiTheme="majorBidi" w:cstheme="majorBidi"/>
          <w:sz w:val="28"/>
          <w:szCs w:val="28"/>
        </w:rPr>
        <w:t>côté pour examiner les espèces qui peuvent être située</w:t>
      </w:r>
      <w:r>
        <w:rPr>
          <w:rFonts w:asciiTheme="majorBidi" w:hAnsiTheme="majorBidi" w:cstheme="majorBidi"/>
          <w:sz w:val="28"/>
          <w:szCs w:val="28"/>
        </w:rPr>
        <w:t xml:space="preserve"> </w:t>
      </w:r>
      <w:r w:rsidRPr="004C58EC">
        <w:rPr>
          <w:rFonts w:asciiTheme="majorBidi" w:hAnsiTheme="majorBidi" w:cstheme="majorBidi"/>
          <w:sz w:val="28"/>
          <w:szCs w:val="28"/>
        </w:rPr>
        <w:t>en dessous, puis l'anneau est descendu, et ceci</w:t>
      </w:r>
      <w:r>
        <w:rPr>
          <w:rFonts w:asciiTheme="majorBidi" w:hAnsiTheme="majorBidi" w:cstheme="majorBidi"/>
          <w:sz w:val="28"/>
          <w:szCs w:val="28"/>
        </w:rPr>
        <w:t xml:space="preserve"> </w:t>
      </w:r>
      <w:r w:rsidRPr="004C58EC">
        <w:rPr>
          <w:rFonts w:asciiTheme="majorBidi" w:hAnsiTheme="majorBidi" w:cstheme="majorBidi"/>
          <w:sz w:val="28"/>
          <w:szCs w:val="28"/>
        </w:rPr>
        <w:t>progressivement jusqu'à la surface du sol. Les</w:t>
      </w:r>
      <w:r>
        <w:rPr>
          <w:rFonts w:asciiTheme="majorBidi" w:hAnsiTheme="majorBidi" w:cstheme="majorBidi"/>
          <w:sz w:val="28"/>
          <w:szCs w:val="28"/>
        </w:rPr>
        <w:t xml:space="preserve"> </w:t>
      </w:r>
      <w:r w:rsidRPr="004C58EC">
        <w:rPr>
          <w:rFonts w:asciiTheme="majorBidi" w:hAnsiTheme="majorBidi" w:cstheme="majorBidi"/>
          <w:sz w:val="28"/>
          <w:szCs w:val="28"/>
        </w:rPr>
        <w:t>observations sont renouvelées à intervalles réguliers le</w:t>
      </w:r>
      <w:r>
        <w:rPr>
          <w:rFonts w:asciiTheme="majorBidi" w:hAnsiTheme="majorBidi" w:cstheme="majorBidi"/>
          <w:sz w:val="28"/>
          <w:szCs w:val="28"/>
        </w:rPr>
        <w:t xml:space="preserve"> </w:t>
      </w:r>
      <w:r w:rsidRPr="004C58EC">
        <w:rPr>
          <w:rFonts w:asciiTheme="majorBidi" w:hAnsiTheme="majorBidi" w:cstheme="majorBidi"/>
          <w:sz w:val="28"/>
          <w:szCs w:val="28"/>
        </w:rPr>
        <w:t>long de la règle</w:t>
      </w:r>
      <w:r>
        <w:rPr>
          <w:rFonts w:asciiTheme="majorBidi" w:hAnsiTheme="majorBidi" w:cstheme="majorBidi"/>
          <w:sz w:val="28"/>
          <w:szCs w:val="28"/>
        </w:rPr>
        <w:t>.</w:t>
      </w:r>
    </w:p>
    <w:p w:rsidR="00370CAC" w:rsidRDefault="00370CAC" w:rsidP="00370CAC">
      <w:pPr>
        <w:tabs>
          <w:tab w:val="left" w:pos="1075"/>
        </w:tabs>
        <w:jc w:val="center"/>
        <w:rPr>
          <w:rFonts w:asciiTheme="majorBidi" w:hAnsiTheme="majorBidi" w:cstheme="majorBidi"/>
          <w:sz w:val="28"/>
          <w:szCs w:val="28"/>
        </w:rPr>
      </w:pPr>
      <w:r>
        <w:rPr>
          <w:noProof/>
          <w:lang w:eastAsia="fr-FR"/>
        </w:rPr>
        <w:drawing>
          <wp:inline distT="0" distB="0" distL="0" distR="0" wp14:anchorId="6539F270" wp14:editId="7B16AF24">
            <wp:extent cx="2266950" cy="17621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66950" cy="1762125"/>
                    </a:xfrm>
                    <a:prstGeom prst="rect">
                      <a:avLst/>
                    </a:prstGeom>
                  </pic:spPr>
                </pic:pic>
              </a:graphicData>
            </a:graphic>
          </wp:inline>
        </w:drawing>
      </w:r>
    </w:p>
    <w:p w:rsidR="00370CAC" w:rsidRPr="004C58EC" w:rsidRDefault="00370CAC" w:rsidP="00370CAC">
      <w:pPr>
        <w:tabs>
          <w:tab w:val="left" w:pos="1075"/>
        </w:tabs>
        <w:jc w:val="center"/>
        <w:rPr>
          <w:rFonts w:asciiTheme="majorBidi" w:hAnsiTheme="majorBidi" w:cstheme="majorBidi"/>
          <w:sz w:val="28"/>
          <w:szCs w:val="28"/>
        </w:rPr>
      </w:pPr>
      <w:r w:rsidRPr="003113E4">
        <w:rPr>
          <w:rFonts w:asciiTheme="majorBidi" w:hAnsiTheme="majorBidi" w:cstheme="majorBidi"/>
          <w:b/>
          <w:bCs/>
          <w:sz w:val="28"/>
          <w:szCs w:val="28"/>
        </w:rPr>
        <w:t>Figure</w:t>
      </w:r>
      <w:r>
        <w:rPr>
          <w:rFonts w:asciiTheme="majorBidi" w:hAnsiTheme="majorBidi" w:cstheme="majorBidi"/>
          <w:b/>
          <w:bCs/>
          <w:sz w:val="28"/>
          <w:szCs w:val="28"/>
        </w:rPr>
        <w:t xml:space="preserve"> 20</w:t>
      </w:r>
      <w:r w:rsidRPr="003113E4">
        <w:rPr>
          <w:rFonts w:asciiTheme="majorBidi" w:hAnsiTheme="majorBidi" w:cstheme="majorBidi"/>
          <w:b/>
          <w:bCs/>
          <w:sz w:val="28"/>
          <w:szCs w:val="28"/>
        </w:rPr>
        <w:t> :</w:t>
      </w:r>
      <w:r>
        <w:rPr>
          <w:rFonts w:asciiTheme="majorBidi" w:hAnsiTheme="majorBidi" w:cstheme="majorBidi"/>
          <w:sz w:val="28"/>
          <w:szCs w:val="28"/>
        </w:rPr>
        <w:t xml:space="preserve"> La loup méthode (Daget et al, 2010)</w:t>
      </w:r>
    </w:p>
    <w:p w:rsidR="00370CAC" w:rsidRDefault="00370CAC" w:rsidP="00370CAC">
      <w:pPr>
        <w:tabs>
          <w:tab w:val="left" w:pos="1075"/>
        </w:tabs>
        <w:rPr>
          <w:rFonts w:asciiTheme="majorBidi" w:hAnsiTheme="majorBidi" w:cstheme="majorBidi"/>
          <w:b/>
          <w:bCs/>
          <w:sz w:val="28"/>
          <w:szCs w:val="28"/>
        </w:rPr>
      </w:pPr>
      <w:r w:rsidRPr="002A2E4B">
        <w:rPr>
          <w:rFonts w:asciiTheme="majorBidi" w:hAnsiTheme="majorBidi" w:cstheme="majorBidi"/>
          <w:b/>
          <w:bCs/>
          <w:sz w:val="28"/>
          <w:szCs w:val="28"/>
        </w:rPr>
        <w:t xml:space="preserve">III.2.2. Point quadrant </w:t>
      </w:r>
    </w:p>
    <w:p w:rsidR="00370CAC" w:rsidRDefault="00370CAC" w:rsidP="00370CAC">
      <w:pPr>
        <w:tabs>
          <w:tab w:val="left" w:pos="1075"/>
        </w:tabs>
        <w:jc w:val="both"/>
        <w:rPr>
          <w:rFonts w:asciiTheme="majorBidi" w:hAnsiTheme="majorBidi" w:cstheme="majorBidi"/>
          <w:sz w:val="28"/>
          <w:szCs w:val="28"/>
        </w:rPr>
      </w:pPr>
      <w:r w:rsidRPr="0089737F">
        <w:rPr>
          <w:rFonts w:asciiTheme="majorBidi" w:hAnsiTheme="majorBidi" w:cstheme="majorBidi"/>
          <w:sz w:val="28"/>
          <w:szCs w:val="28"/>
        </w:rPr>
        <w:t xml:space="preserve">Il est constitué d'un bâti muni de 10 aiguilles espacées de 5 cm (2 pouces) et de 2 pieds pointus pour la mise en place. Les aiguilles sont successivement descendues dans la végétation et les espèces qu'elles touchent au moins une fois notées à mesure. </w:t>
      </w:r>
    </w:p>
    <w:p w:rsidR="00370CAC" w:rsidRDefault="00370CAC" w:rsidP="00370CAC">
      <w:pPr>
        <w:tabs>
          <w:tab w:val="left" w:pos="1075"/>
        </w:tabs>
        <w:jc w:val="both"/>
        <w:rPr>
          <w:rFonts w:asciiTheme="majorBidi" w:hAnsiTheme="majorBidi" w:cstheme="majorBidi"/>
          <w:sz w:val="28"/>
          <w:szCs w:val="28"/>
        </w:rPr>
      </w:pPr>
      <w:r w:rsidRPr="0089737F">
        <w:rPr>
          <w:rFonts w:asciiTheme="majorBidi" w:hAnsiTheme="majorBidi" w:cstheme="majorBidi"/>
          <w:sz w:val="28"/>
          <w:szCs w:val="28"/>
        </w:rPr>
        <w:t>Plusieurs séries de points sont nécessaires pour caractériser une station ; les auteurs recommandent 75 séries pour caractériser les espèces dominantes et entre 40 à 50 pour l'ensemble des espèces du tapis végétal. Actuellement, il est apparu, comme cela sera souligné plus loin, que 100 points de végétation suffisent.</w:t>
      </w:r>
    </w:p>
    <w:p w:rsidR="00370CAC" w:rsidRDefault="00370CAC" w:rsidP="00370CAC">
      <w:pPr>
        <w:tabs>
          <w:tab w:val="left" w:pos="1075"/>
        </w:tabs>
        <w:jc w:val="both"/>
        <w:rPr>
          <w:rFonts w:asciiTheme="majorBidi" w:hAnsiTheme="majorBidi" w:cstheme="majorBidi"/>
          <w:sz w:val="28"/>
          <w:szCs w:val="28"/>
        </w:rPr>
      </w:pPr>
      <w:r w:rsidRPr="0089737F">
        <w:rPr>
          <w:rFonts w:asciiTheme="majorBidi" w:hAnsiTheme="majorBidi" w:cstheme="majorBidi"/>
          <w:sz w:val="28"/>
          <w:szCs w:val="28"/>
        </w:rPr>
        <w:t xml:space="preserve"> Il semble, à la lecture de leurs textes, que les auteurs aient fait leurs observations en notant les espèces successivement en contact avec la pointe de l'aiguille dans son mouvement vertical ; toutefois, beaucoup ont lu qu'il convenait de descendre d'abord l'aiguille dans la végétation jusqu'au sol puis de regarder les espèces en contact avec la surface de l'aiguille. </w:t>
      </w:r>
    </w:p>
    <w:p w:rsidR="00370CAC" w:rsidRDefault="00370CAC" w:rsidP="00370CAC">
      <w:pPr>
        <w:tabs>
          <w:tab w:val="left" w:pos="1075"/>
        </w:tabs>
        <w:rPr>
          <w:rFonts w:asciiTheme="majorBidi" w:hAnsiTheme="majorBidi" w:cstheme="majorBidi"/>
          <w:sz w:val="28"/>
          <w:szCs w:val="28"/>
        </w:rPr>
      </w:pPr>
      <w:r>
        <w:rPr>
          <w:noProof/>
          <w:lang w:eastAsia="fr-FR"/>
        </w:rPr>
        <w:drawing>
          <wp:anchor distT="0" distB="0" distL="114300" distR="114300" simplePos="0" relativeHeight="251659264" behindDoc="0" locked="0" layoutInCell="1" allowOverlap="1" wp14:anchorId="3049ECF8" wp14:editId="1F14A75C">
            <wp:simplePos x="0" y="0"/>
            <wp:positionH relativeFrom="margin">
              <wp:align>right</wp:align>
            </wp:positionH>
            <wp:positionV relativeFrom="paragraph">
              <wp:posOffset>319405</wp:posOffset>
            </wp:positionV>
            <wp:extent cx="5760720" cy="156210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60720" cy="1562100"/>
                    </a:xfrm>
                    <a:prstGeom prst="rect">
                      <a:avLst/>
                    </a:prstGeom>
                  </pic:spPr>
                </pic:pic>
              </a:graphicData>
            </a:graphic>
            <wp14:sizeRelV relativeFrom="margin">
              <wp14:pctHeight>0</wp14:pctHeight>
            </wp14:sizeRelV>
          </wp:anchor>
        </w:drawing>
      </w:r>
    </w:p>
    <w:p w:rsidR="00370CAC" w:rsidRDefault="00370CAC" w:rsidP="00370CAC">
      <w:pPr>
        <w:tabs>
          <w:tab w:val="left" w:pos="1075"/>
        </w:tabs>
        <w:rPr>
          <w:rFonts w:asciiTheme="majorBidi" w:hAnsiTheme="majorBidi" w:cstheme="majorBidi"/>
          <w:sz w:val="28"/>
          <w:szCs w:val="28"/>
        </w:rPr>
      </w:pPr>
    </w:p>
    <w:p w:rsidR="00370CAC" w:rsidRPr="002A2E4B" w:rsidRDefault="00370CAC" w:rsidP="00370CAC">
      <w:pPr>
        <w:tabs>
          <w:tab w:val="left" w:pos="1075"/>
        </w:tabs>
        <w:jc w:val="center"/>
        <w:rPr>
          <w:rFonts w:asciiTheme="majorBidi" w:hAnsiTheme="majorBidi" w:cstheme="majorBidi"/>
          <w:sz w:val="28"/>
          <w:szCs w:val="28"/>
        </w:rPr>
      </w:pPr>
      <w:r w:rsidRPr="009415E6">
        <w:rPr>
          <w:rFonts w:asciiTheme="majorBidi" w:hAnsiTheme="majorBidi" w:cstheme="majorBidi"/>
          <w:b/>
          <w:bCs/>
          <w:sz w:val="28"/>
          <w:szCs w:val="28"/>
        </w:rPr>
        <w:t>Figure </w:t>
      </w:r>
      <w:r>
        <w:rPr>
          <w:rFonts w:asciiTheme="majorBidi" w:hAnsiTheme="majorBidi" w:cstheme="majorBidi"/>
          <w:b/>
          <w:bCs/>
          <w:sz w:val="28"/>
          <w:szCs w:val="28"/>
        </w:rPr>
        <w:t>21</w:t>
      </w:r>
      <w:r w:rsidRPr="009415E6">
        <w:rPr>
          <w:rFonts w:asciiTheme="majorBidi" w:hAnsiTheme="majorBidi" w:cstheme="majorBidi"/>
          <w:b/>
          <w:bCs/>
          <w:sz w:val="28"/>
          <w:szCs w:val="28"/>
        </w:rPr>
        <w:t>:</w:t>
      </w:r>
      <w:r>
        <w:rPr>
          <w:rFonts w:asciiTheme="majorBidi" w:hAnsiTheme="majorBidi" w:cstheme="majorBidi"/>
          <w:sz w:val="28"/>
          <w:szCs w:val="28"/>
        </w:rPr>
        <w:t xml:space="preserve"> Le système de points quadrats de Levy (d’après une photo de Levy et Madden, 1933)</w:t>
      </w:r>
      <w:r>
        <w:rPr>
          <w:rFonts w:asciiTheme="majorBidi" w:hAnsiTheme="majorBidi" w:cstheme="majorBidi"/>
          <w:sz w:val="28"/>
          <w:szCs w:val="28"/>
        </w:rPr>
        <w:br w:type="textWrapping" w:clear="all"/>
      </w:r>
    </w:p>
    <w:p w:rsidR="00370CAC" w:rsidRDefault="00370CAC" w:rsidP="00370CAC">
      <w:pPr>
        <w:tabs>
          <w:tab w:val="left" w:pos="1075"/>
        </w:tabs>
        <w:rPr>
          <w:rFonts w:asciiTheme="majorBidi" w:hAnsiTheme="majorBidi" w:cstheme="majorBidi"/>
          <w:b/>
          <w:bCs/>
          <w:sz w:val="28"/>
          <w:szCs w:val="28"/>
        </w:rPr>
      </w:pPr>
      <w:r w:rsidRPr="002A2E4B">
        <w:rPr>
          <w:rFonts w:asciiTheme="majorBidi" w:hAnsiTheme="majorBidi" w:cstheme="majorBidi"/>
          <w:b/>
          <w:bCs/>
          <w:sz w:val="28"/>
          <w:szCs w:val="28"/>
        </w:rPr>
        <w:t>III.2.3. Méthode des points quadrats alignés</w:t>
      </w:r>
      <w:r>
        <w:rPr>
          <w:rFonts w:asciiTheme="majorBidi" w:hAnsiTheme="majorBidi" w:cstheme="majorBidi"/>
          <w:b/>
          <w:bCs/>
          <w:sz w:val="28"/>
          <w:szCs w:val="28"/>
        </w:rPr>
        <w:t xml:space="preserve"> (</w:t>
      </w:r>
      <w:r w:rsidRPr="0080037B">
        <w:rPr>
          <w:rFonts w:asciiTheme="majorBidi" w:hAnsiTheme="majorBidi" w:cstheme="majorBidi"/>
          <w:b/>
          <w:bCs/>
          <w:sz w:val="28"/>
          <w:szCs w:val="28"/>
        </w:rPr>
        <w:t>Transects</w:t>
      </w:r>
      <w:r>
        <w:rPr>
          <w:rFonts w:asciiTheme="majorBidi" w:hAnsiTheme="majorBidi" w:cstheme="majorBidi"/>
          <w:b/>
          <w:bCs/>
          <w:sz w:val="28"/>
          <w:szCs w:val="28"/>
        </w:rPr>
        <w:t>)</w:t>
      </w:r>
    </w:p>
    <w:p w:rsidR="00370CAC" w:rsidRDefault="00370CAC" w:rsidP="00370CAC">
      <w:pPr>
        <w:rPr>
          <w:rFonts w:asciiTheme="majorBidi" w:hAnsiTheme="majorBidi" w:cstheme="majorBidi"/>
          <w:sz w:val="28"/>
          <w:szCs w:val="28"/>
        </w:rPr>
      </w:pPr>
      <w:r w:rsidRPr="0080037B">
        <w:rPr>
          <w:rFonts w:asciiTheme="majorBidi" w:hAnsiTheme="majorBidi" w:cstheme="majorBidi"/>
          <w:sz w:val="28"/>
          <w:szCs w:val="28"/>
        </w:rPr>
        <w:t>La méthode des points quadrats alignés ou points-contacts permet une étude facile et rapide du tapis herbacé : elle est de plus peu coûteuse et nécessite un équipement peu encombrant. Elle consiste à caractériser l'importance de chacune des espèces en mesurant son recouvrement par l'observation de fréquences à la verticale de points (généralement 100) disposés régulièrement le long d'une ligne, qui peut-être par exemple un décamètre tendu au-dessus de la végétation. Pour obtenir 100 points sur une longueur de 10 m, une aiguille (ou baïonnette) est introduite verticalement dans le tapis tous les 10 cm en ne prenant en compte qu'un seul contact par espèce, au niveau des feuilles ou des tiges</w:t>
      </w:r>
    </w:p>
    <w:p w:rsidR="00370CAC" w:rsidRDefault="00370CAC" w:rsidP="00370CAC">
      <w:pPr>
        <w:rPr>
          <w:rFonts w:asciiTheme="majorBidi" w:hAnsiTheme="majorBidi" w:cstheme="majorBidi"/>
          <w:sz w:val="28"/>
          <w:szCs w:val="28"/>
        </w:rPr>
      </w:pPr>
      <w:r>
        <w:rPr>
          <w:noProof/>
          <w:lang w:eastAsia="fr-FR"/>
        </w:rPr>
        <w:drawing>
          <wp:inline distT="0" distB="0" distL="0" distR="0" wp14:anchorId="76652FE9" wp14:editId="22EC0664">
            <wp:extent cx="5760720" cy="1311910"/>
            <wp:effectExtent l="0" t="0" r="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311910"/>
                    </a:xfrm>
                    <a:prstGeom prst="rect">
                      <a:avLst/>
                    </a:prstGeom>
                  </pic:spPr>
                </pic:pic>
              </a:graphicData>
            </a:graphic>
          </wp:inline>
        </w:drawing>
      </w:r>
    </w:p>
    <w:p w:rsidR="00370CAC" w:rsidRDefault="00370CAC" w:rsidP="00370CAC">
      <w:pPr>
        <w:jc w:val="center"/>
        <w:rPr>
          <w:rFonts w:asciiTheme="majorBidi" w:hAnsiTheme="majorBidi" w:cstheme="majorBidi"/>
          <w:sz w:val="28"/>
          <w:szCs w:val="28"/>
        </w:rPr>
      </w:pPr>
      <w:r w:rsidRPr="00B4053D">
        <w:rPr>
          <w:rFonts w:asciiTheme="majorBidi" w:hAnsiTheme="majorBidi" w:cstheme="majorBidi"/>
          <w:b/>
          <w:bCs/>
          <w:sz w:val="28"/>
          <w:szCs w:val="28"/>
        </w:rPr>
        <w:t xml:space="preserve">Figure </w:t>
      </w:r>
      <w:r>
        <w:rPr>
          <w:rFonts w:asciiTheme="majorBidi" w:hAnsiTheme="majorBidi" w:cstheme="majorBidi"/>
          <w:b/>
          <w:bCs/>
          <w:sz w:val="28"/>
          <w:szCs w:val="28"/>
        </w:rPr>
        <w:t>22</w:t>
      </w:r>
      <w:r w:rsidRPr="00B4053D">
        <w:rPr>
          <w:rFonts w:asciiTheme="majorBidi" w:hAnsiTheme="majorBidi" w:cstheme="majorBidi"/>
          <w:b/>
          <w:bCs/>
          <w:sz w:val="28"/>
          <w:szCs w:val="28"/>
        </w:rPr>
        <w:t> :</w:t>
      </w:r>
      <w:r w:rsidRPr="003E7FBE">
        <w:rPr>
          <w:rFonts w:asciiTheme="majorBidi" w:hAnsiTheme="majorBidi" w:cstheme="majorBidi"/>
          <w:sz w:val="28"/>
          <w:szCs w:val="28"/>
        </w:rPr>
        <w:t xml:space="preserve"> Estimation du couvert herbacé selon la méthode des points quadrats alignés</w:t>
      </w:r>
      <w:r w:rsidRPr="003E7FBE">
        <w:t xml:space="preserve"> </w:t>
      </w:r>
      <w:r w:rsidRPr="003E7FBE">
        <w:rPr>
          <w:rFonts w:asciiTheme="majorBidi" w:hAnsiTheme="majorBidi" w:cstheme="majorBidi"/>
          <w:sz w:val="28"/>
          <w:szCs w:val="28"/>
        </w:rPr>
        <w:t>(Poilecot, 2002).</w:t>
      </w:r>
    </w:p>
    <w:p w:rsidR="00370CAC" w:rsidRDefault="00370CAC" w:rsidP="00370CAC">
      <w:pPr>
        <w:jc w:val="center"/>
        <w:rPr>
          <w:rFonts w:asciiTheme="majorBidi" w:hAnsiTheme="majorBidi" w:cstheme="majorBidi"/>
          <w:sz w:val="28"/>
          <w:szCs w:val="28"/>
        </w:rPr>
      </w:pPr>
    </w:p>
    <w:p w:rsidR="00370CAC" w:rsidRDefault="00370CAC" w:rsidP="00370CAC">
      <w:pPr>
        <w:jc w:val="center"/>
        <w:rPr>
          <w:rFonts w:asciiTheme="majorBidi" w:hAnsiTheme="majorBidi" w:cstheme="majorBidi"/>
          <w:sz w:val="28"/>
          <w:szCs w:val="28"/>
        </w:rPr>
      </w:pPr>
    </w:p>
    <w:p w:rsidR="00370CAC" w:rsidRDefault="00370CAC" w:rsidP="00370CAC">
      <w:pPr>
        <w:jc w:val="center"/>
        <w:rPr>
          <w:rFonts w:asciiTheme="majorBidi" w:hAnsiTheme="majorBidi" w:cstheme="majorBidi"/>
          <w:sz w:val="28"/>
          <w:szCs w:val="28"/>
        </w:rPr>
      </w:pPr>
    </w:p>
    <w:p w:rsidR="00370CAC" w:rsidRDefault="00370CAC" w:rsidP="00370CAC">
      <w:pPr>
        <w:jc w:val="center"/>
        <w:rPr>
          <w:rFonts w:asciiTheme="majorBidi" w:hAnsiTheme="majorBidi" w:cstheme="majorBidi"/>
          <w:sz w:val="28"/>
          <w:szCs w:val="28"/>
        </w:rPr>
      </w:pPr>
    </w:p>
    <w:p w:rsidR="00370CAC" w:rsidRDefault="00370CAC" w:rsidP="00370CAC">
      <w:pPr>
        <w:jc w:val="center"/>
        <w:rPr>
          <w:rFonts w:asciiTheme="majorBidi" w:hAnsiTheme="majorBidi" w:cstheme="majorBidi"/>
          <w:sz w:val="28"/>
          <w:szCs w:val="28"/>
        </w:rPr>
      </w:pPr>
    </w:p>
    <w:p w:rsidR="00370CAC" w:rsidRDefault="00370CAC" w:rsidP="00370CAC">
      <w:pPr>
        <w:jc w:val="center"/>
        <w:rPr>
          <w:rFonts w:asciiTheme="majorBidi" w:hAnsiTheme="majorBidi" w:cstheme="majorBidi"/>
          <w:b/>
          <w:bCs/>
          <w:sz w:val="32"/>
          <w:szCs w:val="32"/>
        </w:rPr>
      </w:pPr>
    </w:p>
    <w:p w:rsidR="00370CAC" w:rsidRPr="00973F6C" w:rsidRDefault="00370CAC" w:rsidP="00370CAC">
      <w:pPr>
        <w:jc w:val="center"/>
        <w:rPr>
          <w:rFonts w:asciiTheme="majorBidi" w:hAnsiTheme="majorBidi" w:cstheme="majorBidi"/>
          <w:b/>
          <w:bCs/>
          <w:sz w:val="32"/>
          <w:szCs w:val="32"/>
        </w:rPr>
      </w:pPr>
      <w:r w:rsidRPr="00973F6C">
        <w:rPr>
          <w:rFonts w:asciiTheme="majorBidi" w:hAnsiTheme="majorBidi" w:cstheme="majorBidi"/>
          <w:b/>
          <w:bCs/>
          <w:sz w:val="32"/>
          <w:szCs w:val="32"/>
        </w:rPr>
        <w:t>Références bibliographiques</w:t>
      </w:r>
    </w:p>
    <w:p w:rsidR="00370CAC" w:rsidRDefault="00370CAC" w:rsidP="00370CAC">
      <w:pPr>
        <w:jc w:val="center"/>
        <w:rPr>
          <w:rFonts w:asciiTheme="majorBidi" w:hAnsiTheme="majorBidi" w:cstheme="majorBidi"/>
          <w:b/>
          <w:bCs/>
          <w:sz w:val="28"/>
          <w:szCs w:val="28"/>
        </w:rPr>
      </w:pPr>
    </w:p>
    <w:p w:rsidR="00370CAC" w:rsidRDefault="00370CAC" w:rsidP="00370CAC">
      <w:pPr>
        <w:rPr>
          <w:rFonts w:asciiTheme="majorBidi" w:hAnsiTheme="majorBidi" w:cstheme="majorBidi"/>
          <w:sz w:val="28"/>
          <w:szCs w:val="28"/>
        </w:rPr>
      </w:pPr>
      <w:r w:rsidRPr="00882A30">
        <w:rPr>
          <w:rFonts w:asciiTheme="majorBidi" w:hAnsiTheme="majorBidi" w:cstheme="majorBidi"/>
          <w:b/>
          <w:bCs/>
          <w:sz w:val="28"/>
          <w:szCs w:val="28"/>
        </w:rPr>
        <w:t xml:space="preserve">Bouzidi, M. A., Latrèche, A., Attaoui, I., Mehdadi, Z., &amp; Benyahia, M. (2009). </w:t>
      </w:r>
      <w:r w:rsidRPr="00882A30">
        <w:rPr>
          <w:rFonts w:asciiTheme="majorBidi" w:hAnsiTheme="majorBidi" w:cstheme="majorBidi"/>
          <w:sz w:val="28"/>
          <w:szCs w:val="28"/>
        </w:rPr>
        <w:t>Caractérisation des matorrals et des garrigues à Urginea pancration Phil. dans le Djebel Tessala (Algérie occidentale). </w:t>
      </w:r>
      <w:r w:rsidRPr="00EC7C0A">
        <w:rPr>
          <w:rFonts w:asciiTheme="majorBidi" w:hAnsiTheme="majorBidi" w:cstheme="majorBidi"/>
          <w:sz w:val="28"/>
          <w:szCs w:val="28"/>
        </w:rPr>
        <w:t>Physio-Géo. Géographie physique et environnement,</w:t>
      </w:r>
      <w:r w:rsidRPr="00882A30">
        <w:rPr>
          <w:rFonts w:asciiTheme="majorBidi" w:hAnsiTheme="majorBidi" w:cstheme="majorBidi"/>
          <w:sz w:val="28"/>
          <w:szCs w:val="28"/>
        </w:rPr>
        <w:t xml:space="preserve"> (Volume 3), 131-149.</w:t>
      </w:r>
    </w:p>
    <w:p w:rsidR="00370CAC" w:rsidRPr="0047788D" w:rsidRDefault="00370CAC" w:rsidP="00370CAC">
      <w:pPr>
        <w:rPr>
          <w:rFonts w:asciiTheme="majorBidi" w:hAnsiTheme="majorBidi" w:cstheme="majorBidi"/>
          <w:sz w:val="28"/>
          <w:szCs w:val="28"/>
        </w:rPr>
      </w:pPr>
      <w:r w:rsidRPr="004C7874">
        <w:rPr>
          <w:rFonts w:asciiTheme="majorBidi" w:hAnsiTheme="majorBidi" w:cstheme="majorBidi"/>
          <w:b/>
          <w:bCs/>
          <w:sz w:val="28"/>
          <w:szCs w:val="28"/>
        </w:rPr>
        <w:t>Bournerias, M., Arnal, G., Bock C. (2002).</w:t>
      </w:r>
      <w:r w:rsidRPr="0047788D">
        <w:rPr>
          <w:rFonts w:asciiTheme="majorBidi" w:hAnsiTheme="majorBidi" w:cstheme="majorBidi"/>
          <w:sz w:val="28"/>
          <w:szCs w:val="28"/>
        </w:rPr>
        <w:t xml:space="preserve"> Les groupements végétaux du Bassin parisien. 639 p, Belin</w:t>
      </w:r>
    </w:p>
    <w:p w:rsidR="00370CAC" w:rsidRPr="0047788D" w:rsidRDefault="00370CAC" w:rsidP="00370CAC">
      <w:pPr>
        <w:rPr>
          <w:rFonts w:asciiTheme="majorBidi" w:hAnsiTheme="majorBidi" w:cstheme="majorBidi"/>
          <w:sz w:val="28"/>
          <w:szCs w:val="28"/>
        </w:rPr>
      </w:pPr>
      <w:r w:rsidRPr="000F48E8">
        <w:rPr>
          <w:rFonts w:asciiTheme="majorBidi" w:hAnsiTheme="majorBidi" w:cstheme="majorBidi"/>
          <w:b/>
          <w:bCs/>
          <w:sz w:val="28"/>
          <w:szCs w:val="28"/>
        </w:rPr>
        <w:t xml:space="preserve">Dierschke H. </w:t>
      </w:r>
      <w:r>
        <w:rPr>
          <w:rFonts w:asciiTheme="majorBidi" w:hAnsiTheme="majorBidi" w:cstheme="majorBidi"/>
          <w:b/>
          <w:bCs/>
          <w:sz w:val="28"/>
          <w:szCs w:val="28"/>
        </w:rPr>
        <w:t>(</w:t>
      </w:r>
      <w:r w:rsidRPr="000F48E8">
        <w:rPr>
          <w:rFonts w:asciiTheme="majorBidi" w:hAnsiTheme="majorBidi" w:cstheme="majorBidi"/>
          <w:b/>
          <w:bCs/>
          <w:sz w:val="28"/>
          <w:szCs w:val="28"/>
        </w:rPr>
        <w:t>1994</w:t>
      </w:r>
      <w:r>
        <w:rPr>
          <w:rFonts w:asciiTheme="majorBidi" w:hAnsiTheme="majorBidi" w:cstheme="majorBidi"/>
          <w:b/>
          <w:bCs/>
          <w:sz w:val="28"/>
          <w:szCs w:val="28"/>
        </w:rPr>
        <w:t>)</w:t>
      </w:r>
      <w:r w:rsidRPr="000F48E8">
        <w:rPr>
          <w:rFonts w:asciiTheme="majorBidi" w:hAnsiTheme="majorBidi" w:cstheme="majorBidi"/>
          <w:b/>
          <w:bCs/>
          <w:sz w:val="28"/>
          <w:szCs w:val="28"/>
        </w:rPr>
        <w:t>.</w:t>
      </w:r>
      <w:r w:rsidRPr="00EF25A3">
        <w:rPr>
          <w:rFonts w:asciiTheme="majorBidi" w:hAnsiTheme="majorBidi" w:cstheme="majorBidi"/>
          <w:sz w:val="28"/>
          <w:szCs w:val="28"/>
        </w:rPr>
        <w:t xml:space="preserve"> Pflanzensoziologie. Ulmer, Stuttgart, 683 pp. </w:t>
      </w:r>
    </w:p>
    <w:p w:rsidR="00370CAC" w:rsidRDefault="00370CAC" w:rsidP="00370CAC">
      <w:pPr>
        <w:rPr>
          <w:rFonts w:asciiTheme="majorBidi" w:hAnsiTheme="majorBidi" w:cstheme="majorBidi"/>
          <w:sz w:val="28"/>
          <w:szCs w:val="28"/>
        </w:rPr>
      </w:pPr>
      <w:r w:rsidRPr="00165FE7">
        <w:rPr>
          <w:rFonts w:asciiTheme="majorBidi" w:hAnsiTheme="majorBidi" w:cstheme="majorBidi"/>
          <w:b/>
          <w:bCs/>
          <w:sz w:val="28"/>
          <w:szCs w:val="28"/>
        </w:rPr>
        <w:t>Ducerf G.</w:t>
      </w:r>
      <w:r>
        <w:rPr>
          <w:rFonts w:asciiTheme="majorBidi" w:hAnsiTheme="majorBidi" w:cstheme="majorBidi"/>
          <w:b/>
          <w:bCs/>
          <w:sz w:val="28"/>
          <w:szCs w:val="28"/>
        </w:rPr>
        <w:t xml:space="preserve"> (</w:t>
      </w:r>
      <w:r w:rsidRPr="00165FE7">
        <w:rPr>
          <w:rFonts w:asciiTheme="majorBidi" w:hAnsiTheme="majorBidi" w:cstheme="majorBidi"/>
          <w:b/>
          <w:bCs/>
          <w:sz w:val="28"/>
          <w:szCs w:val="28"/>
        </w:rPr>
        <w:t>2008</w:t>
      </w:r>
      <w:r>
        <w:rPr>
          <w:rFonts w:asciiTheme="majorBidi" w:hAnsiTheme="majorBidi" w:cstheme="majorBidi"/>
          <w:b/>
          <w:bCs/>
          <w:sz w:val="28"/>
          <w:szCs w:val="28"/>
        </w:rPr>
        <w:t>).</w:t>
      </w:r>
      <w:r w:rsidRPr="0047788D">
        <w:rPr>
          <w:rFonts w:asciiTheme="majorBidi" w:hAnsiTheme="majorBidi" w:cstheme="majorBidi"/>
          <w:sz w:val="28"/>
          <w:szCs w:val="28"/>
        </w:rPr>
        <w:t xml:space="preserve"> L’encyclopédie des plantes bio-indicatrices alimentaires et médicinales : Guide de diagnostic des sols Volume 1. 352p. </w:t>
      </w:r>
    </w:p>
    <w:p w:rsidR="00370CAC" w:rsidRPr="0047788D" w:rsidRDefault="00370CAC" w:rsidP="00370CAC">
      <w:pPr>
        <w:rPr>
          <w:rFonts w:asciiTheme="majorBidi" w:hAnsiTheme="majorBidi" w:cstheme="majorBidi"/>
          <w:sz w:val="28"/>
          <w:szCs w:val="28"/>
        </w:rPr>
      </w:pPr>
      <w:r w:rsidRPr="00165FE7">
        <w:rPr>
          <w:rFonts w:asciiTheme="majorBidi" w:hAnsiTheme="majorBidi" w:cstheme="majorBidi"/>
          <w:b/>
          <w:bCs/>
          <w:sz w:val="28"/>
          <w:szCs w:val="28"/>
        </w:rPr>
        <w:t>Guinochet M.</w:t>
      </w:r>
      <w:r w:rsidRPr="0047788D">
        <w:rPr>
          <w:rFonts w:asciiTheme="majorBidi" w:hAnsiTheme="majorBidi" w:cstheme="majorBidi"/>
          <w:sz w:val="28"/>
          <w:szCs w:val="28"/>
        </w:rPr>
        <w:t xml:space="preserve"> </w:t>
      </w:r>
      <w:r w:rsidRPr="00165FE7">
        <w:rPr>
          <w:rFonts w:asciiTheme="majorBidi" w:hAnsiTheme="majorBidi" w:cstheme="majorBidi"/>
          <w:b/>
          <w:bCs/>
          <w:sz w:val="28"/>
          <w:szCs w:val="28"/>
        </w:rPr>
        <w:t>(1973).</w:t>
      </w:r>
      <w:r w:rsidRPr="0047788D">
        <w:rPr>
          <w:rFonts w:asciiTheme="majorBidi" w:hAnsiTheme="majorBidi" w:cstheme="majorBidi"/>
          <w:sz w:val="28"/>
          <w:szCs w:val="28"/>
        </w:rPr>
        <w:t xml:space="preserve"> Phytosociologie.</w:t>
      </w:r>
      <w:r w:rsidRPr="00165FE7">
        <w:rPr>
          <w:rFonts w:asciiTheme="majorBidi" w:hAnsiTheme="majorBidi" w:cstheme="majorBidi"/>
          <w:sz w:val="28"/>
          <w:szCs w:val="28"/>
        </w:rPr>
        <w:t xml:space="preserve"> </w:t>
      </w:r>
      <w:r w:rsidRPr="0047788D">
        <w:rPr>
          <w:rFonts w:asciiTheme="majorBidi" w:hAnsiTheme="majorBidi" w:cstheme="majorBidi"/>
          <w:sz w:val="28"/>
          <w:szCs w:val="28"/>
        </w:rPr>
        <w:t>Collect. Ecologie, Masson</w:t>
      </w:r>
      <w:r>
        <w:rPr>
          <w:rFonts w:asciiTheme="majorBidi" w:hAnsiTheme="majorBidi" w:cstheme="majorBidi"/>
          <w:sz w:val="28"/>
          <w:szCs w:val="28"/>
        </w:rPr>
        <w:t>.</w:t>
      </w:r>
      <w:r w:rsidRPr="0047788D">
        <w:rPr>
          <w:rFonts w:asciiTheme="majorBidi" w:hAnsiTheme="majorBidi" w:cstheme="majorBidi"/>
          <w:sz w:val="28"/>
          <w:szCs w:val="28"/>
        </w:rPr>
        <w:t xml:space="preserve"> 227 p. </w:t>
      </w:r>
    </w:p>
    <w:p w:rsidR="00370CAC" w:rsidRDefault="00370CAC" w:rsidP="00370CAC">
      <w:pPr>
        <w:rPr>
          <w:rFonts w:asciiTheme="majorBidi" w:hAnsiTheme="majorBidi" w:cstheme="majorBidi"/>
          <w:sz w:val="28"/>
          <w:szCs w:val="28"/>
        </w:rPr>
      </w:pPr>
      <w:r w:rsidRPr="00165FE7">
        <w:rPr>
          <w:rFonts w:asciiTheme="majorBidi" w:hAnsiTheme="majorBidi" w:cstheme="majorBidi"/>
          <w:b/>
          <w:bCs/>
          <w:sz w:val="28"/>
          <w:szCs w:val="28"/>
        </w:rPr>
        <w:t>Tremp H. (2005).</w:t>
      </w:r>
      <w:r w:rsidRPr="0047788D">
        <w:rPr>
          <w:rFonts w:asciiTheme="majorBidi" w:hAnsiTheme="majorBidi" w:cstheme="majorBidi"/>
          <w:sz w:val="28"/>
          <w:szCs w:val="28"/>
        </w:rPr>
        <w:t xml:space="preserve"> Aufnahmen und Analyse vegetationsökologischer Daten.</w:t>
      </w:r>
      <w:r>
        <w:rPr>
          <w:rFonts w:asciiTheme="majorBidi" w:hAnsiTheme="majorBidi" w:cstheme="majorBidi"/>
          <w:sz w:val="28"/>
          <w:szCs w:val="28"/>
        </w:rPr>
        <w:t>1</w:t>
      </w:r>
      <w:r w:rsidRPr="0047788D">
        <w:rPr>
          <w:rFonts w:asciiTheme="majorBidi" w:hAnsiTheme="majorBidi" w:cstheme="majorBidi"/>
          <w:sz w:val="28"/>
          <w:szCs w:val="28"/>
        </w:rPr>
        <w:t xml:space="preserve">41 p. </w:t>
      </w:r>
    </w:p>
    <w:p w:rsidR="00370CAC" w:rsidRPr="00165FE7" w:rsidRDefault="00370CAC" w:rsidP="00370CAC">
      <w:pPr>
        <w:rPr>
          <w:rFonts w:asciiTheme="majorBidi" w:hAnsiTheme="majorBidi" w:cstheme="majorBidi"/>
          <w:sz w:val="28"/>
          <w:szCs w:val="28"/>
        </w:rPr>
      </w:pPr>
      <w:r w:rsidRPr="008E0C26">
        <w:rPr>
          <w:rFonts w:asciiTheme="majorBidi" w:hAnsiTheme="majorBidi" w:cstheme="majorBidi"/>
          <w:b/>
          <w:bCs/>
          <w:sz w:val="28"/>
          <w:szCs w:val="28"/>
        </w:rPr>
        <w:t>Delassus, L. (2015).</w:t>
      </w:r>
      <w:r w:rsidRPr="008E0C26">
        <w:rPr>
          <w:rFonts w:asciiTheme="majorBidi" w:hAnsiTheme="majorBidi" w:cstheme="majorBidi"/>
          <w:sz w:val="28"/>
          <w:szCs w:val="28"/>
        </w:rPr>
        <w:t xml:space="preserve"> Guide de terrain pour la réalisation des relevés phytosociologiques. </w:t>
      </w:r>
      <w:r w:rsidRPr="00165FE7">
        <w:rPr>
          <w:rFonts w:asciiTheme="majorBidi" w:hAnsiTheme="majorBidi" w:cstheme="majorBidi"/>
          <w:sz w:val="28"/>
          <w:szCs w:val="28"/>
        </w:rPr>
        <w:t>Conservatoire botanique national de Brest.</w:t>
      </w:r>
    </w:p>
    <w:p w:rsidR="00370CAC" w:rsidRDefault="00370CAC" w:rsidP="00370CAC">
      <w:pPr>
        <w:rPr>
          <w:rFonts w:asciiTheme="majorBidi" w:hAnsiTheme="majorBidi" w:cstheme="majorBidi"/>
          <w:sz w:val="28"/>
          <w:szCs w:val="28"/>
        </w:rPr>
      </w:pPr>
      <w:r w:rsidRPr="00165FE7">
        <w:rPr>
          <w:rFonts w:asciiTheme="majorBidi" w:hAnsiTheme="majorBidi" w:cstheme="majorBidi"/>
          <w:b/>
          <w:bCs/>
          <w:sz w:val="28"/>
          <w:szCs w:val="28"/>
        </w:rPr>
        <w:t xml:space="preserve">Braun-Blanquet, J., Roussine, N., Nègre, R. (1952). </w:t>
      </w:r>
      <w:r w:rsidRPr="00984726">
        <w:rPr>
          <w:rFonts w:asciiTheme="majorBidi" w:hAnsiTheme="majorBidi" w:cstheme="majorBidi"/>
          <w:sz w:val="28"/>
          <w:szCs w:val="28"/>
        </w:rPr>
        <w:t>Groupements végétaux de la France méditerranéenne.</w:t>
      </w:r>
    </w:p>
    <w:p w:rsidR="00370CAC" w:rsidRDefault="00370CAC" w:rsidP="00370CAC">
      <w:pPr>
        <w:rPr>
          <w:rFonts w:asciiTheme="majorBidi" w:hAnsiTheme="majorBidi" w:cstheme="majorBidi"/>
          <w:sz w:val="28"/>
          <w:szCs w:val="28"/>
        </w:rPr>
      </w:pPr>
      <w:r w:rsidRPr="00165FE7">
        <w:rPr>
          <w:rFonts w:asciiTheme="majorBidi" w:hAnsiTheme="majorBidi" w:cstheme="majorBidi"/>
          <w:b/>
          <w:bCs/>
          <w:sz w:val="28"/>
          <w:szCs w:val="28"/>
        </w:rPr>
        <w:t>Guinochet, M., De Vilmorin, R., &amp; Mangenot, G. (1973).</w:t>
      </w:r>
      <w:r w:rsidRPr="00984726">
        <w:rPr>
          <w:rFonts w:asciiTheme="majorBidi" w:hAnsiTheme="majorBidi" w:cstheme="majorBidi"/>
          <w:sz w:val="28"/>
          <w:szCs w:val="28"/>
        </w:rPr>
        <w:t> </w:t>
      </w:r>
      <w:r w:rsidRPr="00165FE7">
        <w:rPr>
          <w:rFonts w:asciiTheme="majorBidi" w:hAnsiTheme="majorBidi" w:cstheme="majorBidi"/>
          <w:sz w:val="28"/>
          <w:szCs w:val="28"/>
        </w:rPr>
        <w:t xml:space="preserve">Flore de </w:t>
      </w:r>
      <w:r>
        <w:rPr>
          <w:rFonts w:asciiTheme="majorBidi" w:hAnsiTheme="majorBidi" w:cstheme="majorBidi"/>
          <w:sz w:val="28"/>
          <w:szCs w:val="28"/>
        </w:rPr>
        <w:t>f</w:t>
      </w:r>
      <w:r w:rsidRPr="00165FE7">
        <w:rPr>
          <w:rFonts w:asciiTheme="majorBidi" w:hAnsiTheme="majorBidi" w:cstheme="majorBidi"/>
          <w:sz w:val="28"/>
          <w:szCs w:val="28"/>
        </w:rPr>
        <w:t>rance </w:t>
      </w:r>
    </w:p>
    <w:p w:rsidR="00370CAC" w:rsidRDefault="00370CAC" w:rsidP="00370CAC">
      <w:pPr>
        <w:spacing w:line="240" w:lineRule="auto"/>
        <w:rPr>
          <w:rFonts w:asciiTheme="majorBidi" w:hAnsiTheme="majorBidi" w:cstheme="majorBidi"/>
          <w:b/>
          <w:bCs/>
          <w:sz w:val="28"/>
          <w:szCs w:val="28"/>
        </w:rPr>
      </w:pPr>
      <w:r w:rsidRPr="00984726">
        <w:rPr>
          <w:rFonts w:asciiTheme="majorBidi" w:hAnsiTheme="majorBidi" w:cstheme="majorBidi"/>
          <w:sz w:val="28"/>
          <w:szCs w:val="28"/>
        </w:rPr>
        <w:t>(Vol. 1, No. 3). Editions du CNRS, diffusion Doin.</w:t>
      </w:r>
      <w:r w:rsidRPr="001A603D">
        <w:rPr>
          <w:rFonts w:asciiTheme="majorBidi" w:hAnsiTheme="majorBidi" w:cstheme="majorBidi"/>
          <w:sz w:val="28"/>
          <w:szCs w:val="28"/>
        </w:rPr>
        <w:br/>
      </w:r>
    </w:p>
    <w:p w:rsidR="00370CAC" w:rsidRDefault="00370CAC" w:rsidP="00370CAC">
      <w:pPr>
        <w:spacing w:line="240" w:lineRule="auto"/>
        <w:rPr>
          <w:rFonts w:asciiTheme="majorBidi" w:hAnsiTheme="majorBidi" w:cstheme="majorBidi"/>
          <w:sz w:val="28"/>
          <w:szCs w:val="28"/>
        </w:rPr>
      </w:pPr>
      <w:r w:rsidRPr="000B039C">
        <w:rPr>
          <w:rFonts w:asciiTheme="majorBidi" w:hAnsiTheme="majorBidi" w:cstheme="majorBidi"/>
          <w:b/>
          <w:bCs/>
          <w:sz w:val="28"/>
          <w:szCs w:val="28"/>
        </w:rPr>
        <w:t>Greig-Smith, P. (1952).</w:t>
      </w:r>
      <w:r w:rsidRPr="0065717C">
        <w:rPr>
          <w:rFonts w:asciiTheme="majorBidi" w:hAnsiTheme="majorBidi" w:cstheme="majorBidi"/>
          <w:sz w:val="28"/>
          <w:szCs w:val="28"/>
        </w:rPr>
        <w:t xml:space="preserve"> The use of random and contiguous quadrats in the study of the structure of plant communities. </w:t>
      </w:r>
      <w:r w:rsidRPr="000B039C">
        <w:rPr>
          <w:rFonts w:asciiTheme="majorBidi" w:hAnsiTheme="majorBidi" w:cstheme="majorBidi"/>
          <w:sz w:val="28"/>
          <w:szCs w:val="28"/>
        </w:rPr>
        <w:t>Annals of Botany</w:t>
      </w:r>
      <w:r w:rsidRPr="0065717C">
        <w:rPr>
          <w:rFonts w:asciiTheme="majorBidi" w:hAnsiTheme="majorBidi" w:cstheme="majorBidi"/>
          <w:sz w:val="28"/>
          <w:szCs w:val="28"/>
        </w:rPr>
        <w:t>, 293-316.</w:t>
      </w:r>
    </w:p>
    <w:p w:rsidR="00370CAC" w:rsidRDefault="00370CAC" w:rsidP="00370CAC">
      <w:pPr>
        <w:rPr>
          <w:rFonts w:asciiTheme="majorBidi" w:hAnsiTheme="majorBidi" w:cstheme="majorBidi"/>
          <w:sz w:val="28"/>
          <w:szCs w:val="28"/>
        </w:rPr>
      </w:pPr>
      <w:r w:rsidRPr="0084074B">
        <w:rPr>
          <w:rFonts w:asciiTheme="majorBidi" w:hAnsiTheme="majorBidi" w:cstheme="majorBidi"/>
          <w:b/>
          <w:bCs/>
          <w:sz w:val="28"/>
          <w:szCs w:val="28"/>
        </w:rPr>
        <w:t>Hellawell, J. M. (1991).</w:t>
      </w:r>
      <w:r w:rsidRPr="0084074B">
        <w:rPr>
          <w:rFonts w:asciiTheme="majorBidi" w:hAnsiTheme="majorBidi" w:cstheme="majorBidi"/>
          <w:sz w:val="28"/>
          <w:szCs w:val="28"/>
        </w:rPr>
        <w:t xml:space="preserve"> Development of a rationale for monitoring. In Monitoring for conservation and ecology (pp. 1-14). Springer, Dordrecht.</w:t>
      </w:r>
    </w:p>
    <w:p w:rsidR="00370CAC" w:rsidRDefault="00370CAC" w:rsidP="00370CAC">
      <w:pPr>
        <w:rPr>
          <w:rFonts w:asciiTheme="majorBidi" w:hAnsiTheme="majorBidi" w:cstheme="majorBidi"/>
          <w:sz w:val="28"/>
          <w:szCs w:val="28"/>
        </w:rPr>
      </w:pPr>
      <w:r w:rsidRPr="001E547E">
        <w:rPr>
          <w:rFonts w:asciiTheme="majorBidi" w:hAnsiTheme="majorBidi" w:cstheme="majorBidi"/>
          <w:b/>
          <w:bCs/>
          <w:sz w:val="28"/>
          <w:szCs w:val="28"/>
        </w:rPr>
        <w:t>Grayson, R. B., Finlayson, B. L., Gippel, C. J., &amp; Hart, B. T. (1996).</w:t>
      </w:r>
      <w:r w:rsidRPr="00E24F9A">
        <w:rPr>
          <w:rFonts w:asciiTheme="majorBidi" w:hAnsiTheme="majorBidi" w:cstheme="majorBidi"/>
          <w:sz w:val="28"/>
          <w:szCs w:val="28"/>
        </w:rPr>
        <w:t xml:space="preserve"> The potential of field turbidity measurements for the computation of total phosphorus and suspended solids loads. </w:t>
      </w:r>
      <w:r w:rsidRPr="001E547E">
        <w:rPr>
          <w:rFonts w:asciiTheme="majorBidi" w:hAnsiTheme="majorBidi" w:cstheme="majorBidi"/>
          <w:sz w:val="28"/>
          <w:szCs w:val="28"/>
        </w:rPr>
        <w:t>Journal of environmental management, 47(3),</w:t>
      </w:r>
      <w:r w:rsidRPr="00E24F9A">
        <w:rPr>
          <w:rFonts w:asciiTheme="majorBidi" w:hAnsiTheme="majorBidi" w:cstheme="majorBidi"/>
          <w:sz w:val="28"/>
          <w:szCs w:val="28"/>
        </w:rPr>
        <w:t xml:space="preserve"> 257-267.</w:t>
      </w:r>
    </w:p>
    <w:p w:rsidR="00370CAC" w:rsidRDefault="00370CAC" w:rsidP="00370CAC">
      <w:pPr>
        <w:rPr>
          <w:rFonts w:asciiTheme="majorBidi" w:hAnsiTheme="majorBidi" w:cstheme="majorBidi"/>
          <w:sz w:val="28"/>
          <w:szCs w:val="28"/>
        </w:rPr>
      </w:pPr>
      <w:r w:rsidRPr="00FD2FE6">
        <w:rPr>
          <w:rFonts w:asciiTheme="majorBidi" w:hAnsiTheme="majorBidi" w:cstheme="majorBidi"/>
          <w:b/>
          <w:bCs/>
          <w:sz w:val="28"/>
          <w:szCs w:val="28"/>
        </w:rPr>
        <w:t>Lhonore, J. Meunier, P. (2001)</w:t>
      </w:r>
      <w:r w:rsidRPr="00FD2FE6">
        <w:rPr>
          <w:rFonts w:asciiTheme="majorBidi" w:hAnsiTheme="majorBidi" w:cstheme="majorBidi"/>
          <w:sz w:val="28"/>
          <w:szCs w:val="28"/>
        </w:rPr>
        <w:t>. Contribution à l'inventaire des lépidoptères de la réserve naturelle des vallées de Grand-Pierre et de Vitain. Symbioses, (4), 51-54.</w:t>
      </w:r>
    </w:p>
    <w:p w:rsidR="00370CAC" w:rsidRDefault="00370CAC" w:rsidP="00370CAC">
      <w:pPr>
        <w:rPr>
          <w:rFonts w:asciiTheme="majorBidi" w:hAnsiTheme="majorBidi" w:cstheme="majorBidi"/>
          <w:sz w:val="28"/>
          <w:szCs w:val="28"/>
        </w:rPr>
      </w:pPr>
      <w:r w:rsidRPr="007D6FA4">
        <w:rPr>
          <w:rFonts w:asciiTheme="majorBidi" w:hAnsiTheme="majorBidi" w:cstheme="majorBidi"/>
          <w:b/>
          <w:bCs/>
          <w:sz w:val="28"/>
          <w:szCs w:val="28"/>
        </w:rPr>
        <w:t>Delassus, L., Goret, M., Zambettakis, C. (2016).</w:t>
      </w:r>
      <w:r w:rsidRPr="007D6FA4">
        <w:rPr>
          <w:rFonts w:asciiTheme="majorBidi" w:hAnsiTheme="majorBidi" w:cstheme="majorBidi"/>
          <w:sz w:val="28"/>
          <w:szCs w:val="28"/>
        </w:rPr>
        <w:t xml:space="preserve"> Catalogue des végétations naturelles et semi-naturelles de Basse-Normandie comprenant une proposition.</w:t>
      </w:r>
    </w:p>
    <w:p w:rsidR="00370CAC" w:rsidRDefault="00370CAC" w:rsidP="00370CAC">
      <w:pPr>
        <w:rPr>
          <w:rFonts w:asciiTheme="majorBidi" w:hAnsiTheme="majorBidi" w:cstheme="majorBidi"/>
          <w:sz w:val="28"/>
          <w:szCs w:val="28"/>
        </w:rPr>
      </w:pPr>
      <w:r w:rsidRPr="00000FD5">
        <w:rPr>
          <w:rFonts w:asciiTheme="majorBidi" w:hAnsiTheme="majorBidi" w:cstheme="majorBidi"/>
          <w:b/>
          <w:bCs/>
          <w:sz w:val="28"/>
          <w:szCs w:val="28"/>
        </w:rPr>
        <w:t>Bouzillé, J. B. (2007).</w:t>
      </w:r>
      <w:r w:rsidRPr="00000FD5">
        <w:rPr>
          <w:rFonts w:asciiTheme="majorBidi" w:hAnsiTheme="majorBidi" w:cstheme="majorBidi"/>
          <w:sz w:val="28"/>
          <w:szCs w:val="28"/>
        </w:rPr>
        <w:t> Gestion des habitats naturels et biodiversité</w:t>
      </w:r>
      <w:r>
        <w:rPr>
          <w:rFonts w:asciiTheme="majorBidi" w:hAnsiTheme="majorBidi" w:cstheme="majorBidi"/>
          <w:sz w:val="28"/>
          <w:szCs w:val="28"/>
        </w:rPr>
        <w:t xml:space="preserve">, </w:t>
      </w:r>
      <w:r w:rsidRPr="00000FD5">
        <w:rPr>
          <w:rFonts w:asciiTheme="majorBidi" w:hAnsiTheme="majorBidi" w:cstheme="majorBidi"/>
          <w:sz w:val="28"/>
          <w:szCs w:val="28"/>
        </w:rPr>
        <w:t>Lavoisier.</w:t>
      </w:r>
      <w:r>
        <w:rPr>
          <w:rFonts w:asciiTheme="majorBidi" w:hAnsiTheme="majorBidi" w:cstheme="majorBidi"/>
          <w:sz w:val="28"/>
          <w:szCs w:val="28"/>
        </w:rPr>
        <w:t xml:space="preserve"> </w:t>
      </w:r>
      <w:r w:rsidRPr="00000FD5">
        <w:rPr>
          <w:rFonts w:asciiTheme="majorBidi" w:hAnsiTheme="majorBidi" w:cstheme="majorBidi"/>
          <w:sz w:val="28"/>
          <w:szCs w:val="28"/>
        </w:rPr>
        <w:t xml:space="preserve">330p. </w:t>
      </w:r>
    </w:p>
    <w:p w:rsidR="00370CAC" w:rsidRDefault="00370CAC" w:rsidP="00370CAC">
      <w:pPr>
        <w:rPr>
          <w:rFonts w:asciiTheme="majorBidi" w:hAnsiTheme="majorBidi" w:cstheme="majorBidi"/>
          <w:sz w:val="28"/>
          <w:szCs w:val="28"/>
        </w:rPr>
      </w:pPr>
      <w:r w:rsidRPr="00BA16C0">
        <w:rPr>
          <w:rFonts w:asciiTheme="majorBidi" w:hAnsiTheme="majorBidi" w:cstheme="majorBidi"/>
          <w:b/>
          <w:bCs/>
          <w:sz w:val="28"/>
          <w:szCs w:val="28"/>
        </w:rPr>
        <w:t xml:space="preserve">Ellenberg , H., </w:t>
      </w:r>
      <w:r>
        <w:rPr>
          <w:rFonts w:asciiTheme="majorBidi" w:hAnsiTheme="majorBidi" w:cstheme="majorBidi"/>
          <w:b/>
          <w:bCs/>
          <w:sz w:val="28"/>
          <w:szCs w:val="28"/>
        </w:rPr>
        <w:t>(</w:t>
      </w:r>
      <w:r w:rsidRPr="00BA16C0">
        <w:rPr>
          <w:rFonts w:asciiTheme="majorBidi" w:hAnsiTheme="majorBidi" w:cstheme="majorBidi"/>
          <w:b/>
          <w:bCs/>
          <w:sz w:val="28"/>
          <w:szCs w:val="28"/>
        </w:rPr>
        <w:t>1956</w:t>
      </w:r>
      <w:r>
        <w:rPr>
          <w:rFonts w:asciiTheme="majorBidi" w:hAnsiTheme="majorBidi" w:cstheme="majorBidi"/>
          <w:b/>
          <w:bCs/>
          <w:sz w:val="28"/>
          <w:szCs w:val="28"/>
        </w:rPr>
        <w:t>)</w:t>
      </w:r>
      <w:r w:rsidRPr="00BA16C0">
        <w:rPr>
          <w:rFonts w:asciiTheme="majorBidi" w:hAnsiTheme="majorBidi" w:cstheme="majorBidi"/>
          <w:b/>
          <w:bCs/>
          <w:sz w:val="28"/>
          <w:szCs w:val="28"/>
        </w:rPr>
        <w:t>.</w:t>
      </w:r>
      <w:r w:rsidRPr="00576B9C">
        <w:rPr>
          <w:rFonts w:asciiTheme="majorBidi" w:hAnsiTheme="majorBidi" w:cstheme="majorBidi"/>
          <w:sz w:val="28"/>
          <w:szCs w:val="28"/>
        </w:rPr>
        <w:t xml:space="preserve"> Aufgaben und Methoden der Vegetationskunde. Phytologie IV, I, ed. H. Walter Stuttgart: Ulmer</w:t>
      </w:r>
      <w:r>
        <w:rPr>
          <w:rFonts w:asciiTheme="majorBidi" w:hAnsiTheme="majorBidi" w:cstheme="majorBidi"/>
          <w:sz w:val="28"/>
          <w:szCs w:val="28"/>
        </w:rPr>
        <w:t>.</w:t>
      </w:r>
    </w:p>
    <w:p w:rsidR="00370CAC" w:rsidRDefault="00370CAC" w:rsidP="00370CAC">
      <w:pPr>
        <w:rPr>
          <w:rFonts w:asciiTheme="majorBidi" w:hAnsiTheme="majorBidi" w:cstheme="majorBidi"/>
          <w:sz w:val="28"/>
          <w:szCs w:val="28"/>
        </w:rPr>
      </w:pPr>
      <w:r w:rsidRPr="00BA16C0">
        <w:rPr>
          <w:rFonts w:asciiTheme="majorBidi" w:hAnsiTheme="majorBidi" w:cstheme="majorBidi"/>
          <w:b/>
          <w:bCs/>
          <w:sz w:val="28"/>
          <w:szCs w:val="28"/>
        </w:rPr>
        <w:t>Bouzidi, M. A., Latrèche, A., Attaoui, I., Mehdadi, Z., Benyahia, M. (2009).</w:t>
      </w:r>
      <w:r w:rsidRPr="00BA16C0">
        <w:rPr>
          <w:rFonts w:asciiTheme="majorBidi" w:hAnsiTheme="majorBidi" w:cstheme="majorBidi"/>
          <w:sz w:val="28"/>
          <w:szCs w:val="28"/>
        </w:rPr>
        <w:t xml:space="preserve"> Caractérisation des matorrals et des garrigues à Urginea pancration Phil. Dans le Djebel Tessala (Algérie occidentale). Physio-Géo. Géographie physique et environnement, (Volume 3), 131-149.</w:t>
      </w:r>
    </w:p>
    <w:p w:rsidR="00370CAC" w:rsidRDefault="00370CAC" w:rsidP="00370CAC">
      <w:pPr>
        <w:rPr>
          <w:rFonts w:asciiTheme="majorBidi" w:hAnsiTheme="majorBidi" w:cstheme="majorBidi"/>
          <w:sz w:val="28"/>
          <w:szCs w:val="28"/>
        </w:rPr>
      </w:pPr>
      <w:r w:rsidRPr="00943912">
        <w:rPr>
          <w:rFonts w:asciiTheme="majorBidi" w:hAnsiTheme="majorBidi" w:cstheme="majorBidi"/>
          <w:b/>
          <w:bCs/>
          <w:sz w:val="28"/>
          <w:szCs w:val="28"/>
        </w:rPr>
        <w:t>Gauch, H. G., Gauch Jr, H. G. (1982).</w:t>
      </w:r>
      <w:r w:rsidRPr="00943912">
        <w:rPr>
          <w:rFonts w:asciiTheme="majorBidi" w:hAnsiTheme="majorBidi" w:cstheme="majorBidi"/>
          <w:i/>
          <w:iCs/>
          <w:sz w:val="28"/>
          <w:szCs w:val="28"/>
        </w:rPr>
        <w:t> </w:t>
      </w:r>
      <w:r w:rsidRPr="00943912">
        <w:rPr>
          <w:rFonts w:asciiTheme="majorBidi" w:hAnsiTheme="majorBidi" w:cstheme="majorBidi"/>
          <w:sz w:val="28"/>
          <w:szCs w:val="28"/>
        </w:rPr>
        <w:t>Multivariate analysis in community ecology (No. 1). Cambridge University Press.</w:t>
      </w:r>
    </w:p>
    <w:p w:rsidR="00370CAC" w:rsidRDefault="00370CAC" w:rsidP="00370CAC">
      <w:pPr>
        <w:rPr>
          <w:rFonts w:asciiTheme="majorBidi" w:hAnsiTheme="majorBidi" w:cstheme="majorBidi"/>
          <w:sz w:val="28"/>
          <w:szCs w:val="28"/>
        </w:rPr>
      </w:pPr>
      <w:r w:rsidRPr="00943912">
        <w:rPr>
          <w:rFonts w:asciiTheme="majorBidi" w:hAnsiTheme="majorBidi" w:cstheme="majorBidi"/>
          <w:b/>
          <w:bCs/>
          <w:sz w:val="28"/>
          <w:szCs w:val="28"/>
        </w:rPr>
        <w:t>Legendre, P., Legendre, V. (1984).</w:t>
      </w:r>
      <w:r w:rsidRPr="00943912">
        <w:rPr>
          <w:rFonts w:asciiTheme="majorBidi" w:hAnsiTheme="majorBidi" w:cstheme="majorBidi"/>
          <w:sz w:val="28"/>
          <w:szCs w:val="28"/>
        </w:rPr>
        <w:t xml:space="preserve"> Postglacial dispersal of freshwater fishes in the Québec peninsula. </w:t>
      </w:r>
      <w:r w:rsidRPr="0004338C">
        <w:rPr>
          <w:rFonts w:asciiTheme="majorBidi" w:hAnsiTheme="majorBidi" w:cstheme="majorBidi"/>
          <w:sz w:val="28"/>
          <w:szCs w:val="28"/>
        </w:rPr>
        <w:t>Canadian Journal of Fisheries and Aquatic Sciences, 41(12), 1781-1802.</w:t>
      </w:r>
    </w:p>
    <w:p w:rsidR="00370CAC" w:rsidRDefault="00370CAC" w:rsidP="00370CAC">
      <w:pPr>
        <w:rPr>
          <w:rFonts w:asciiTheme="majorBidi" w:hAnsiTheme="majorBidi" w:cstheme="majorBidi"/>
          <w:sz w:val="28"/>
          <w:szCs w:val="28"/>
        </w:rPr>
      </w:pPr>
      <w:r w:rsidRPr="00E0447B">
        <w:rPr>
          <w:rFonts w:asciiTheme="majorBidi" w:hAnsiTheme="majorBidi" w:cstheme="majorBidi"/>
          <w:b/>
          <w:bCs/>
          <w:sz w:val="28"/>
          <w:szCs w:val="28"/>
        </w:rPr>
        <w:t>Bouxin, G., Hérault, B., Thoen, D. (2004).</w:t>
      </w:r>
      <w:r w:rsidRPr="00935826">
        <w:rPr>
          <w:rFonts w:asciiTheme="majorBidi" w:hAnsiTheme="majorBidi" w:cstheme="majorBidi"/>
          <w:sz w:val="28"/>
          <w:szCs w:val="28"/>
        </w:rPr>
        <w:t xml:space="preserve"> Comparison of the regeneration patterns of woody species between Norway spruce plantations and deciduous forests on alluvial soils</w:t>
      </w:r>
      <w:r w:rsidRPr="00E0447B">
        <w:rPr>
          <w:rFonts w:asciiTheme="majorBidi" w:hAnsiTheme="majorBidi" w:cstheme="majorBidi"/>
          <w:sz w:val="28"/>
          <w:szCs w:val="28"/>
        </w:rPr>
        <w:t>. Belgian Journal of Botany,</w:t>
      </w:r>
      <w:r w:rsidRPr="00935826">
        <w:rPr>
          <w:rFonts w:asciiTheme="majorBidi" w:hAnsiTheme="majorBidi" w:cstheme="majorBidi"/>
          <w:sz w:val="28"/>
          <w:szCs w:val="28"/>
        </w:rPr>
        <w:t xml:space="preserve"> 36-46.</w:t>
      </w:r>
    </w:p>
    <w:p w:rsidR="00370CAC" w:rsidRDefault="00370CAC" w:rsidP="00370CAC">
      <w:pPr>
        <w:rPr>
          <w:rFonts w:asciiTheme="majorBidi" w:hAnsiTheme="majorBidi" w:cstheme="majorBidi"/>
          <w:sz w:val="28"/>
          <w:szCs w:val="28"/>
        </w:rPr>
      </w:pPr>
      <w:r w:rsidRPr="00F9612C">
        <w:rPr>
          <w:rFonts w:asciiTheme="majorBidi" w:hAnsiTheme="majorBidi" w:cstheme="majorBidi"/>
          <w:b/>
          <w:bCs/>
          <w:sz w:val="28"/>
          <w:szCs w:val="28"/>
        </w:rPr>
        <w:t>Dufrêne, M., Legendre, P. (1997).</w:t>
      </w:r>
      <w:r w:rsidRPr="00F9612C">
        <w:rPr>
          <w:rFonts w:asciiTheme="majorBidi" w:hAnsiTheme="majorBidi" w:cstheme="majorBidi"/>
          <w:sz w:val="28"/>
          <w:szCs w:val="28"/>
        </w:rPr>
        <w:t xml:space="preserve"> Species assemblages and indicator species: the need for a flexible asymmetrical approach. </w:t>
      </w:r>
      <w:r w:rsidRPr="00F9612C">
        <w:rPr>
          <w:rFonts w:asciiTheme="majorBidi" w:hAnsiTheme="majorBidi" w:cstheme="majorBidi"/>
          <w:i/>
          <w:iCs/>
          <w:sz w:val="28"/>
          <w:szCs w:val="28"/>
        </w:rPr>
        <w:t>Ecological monographs</w:t>
      </w:r>
      <w:r w:rsidRPr="00F9612C">
        <w:rPr>
          <w:rFonts w:asciiTheme="majorBidi" w:hAnsiTheme="majorBidi" w:cstheme="majorBidi"/>
          <w:sz w:val="28"/>
          <w:szCs w:val="28"/>
        </w:rPr>
        <w:t>, </w:t>
      </w:r>
      <w:r w:rsidRPr="00F9612C">
        <w:rPr>
          <w:rFonts w:asciiTheme="majorBidi" w:hAnsiTheme="majorBidi" w:cstheme="majorBidi"/>
          <w:i/>
          <w:iCs/>
          <w:sz w:val="28"/>
          <w:szCs w:val="28"/>
        </w:rPr>
        <w:t>67</w:t>
      </w:r>
      <w:r w:rsidRPr="00F9612C">
        <w:rPr>
          <w:rFonts w:asciiTheme="majorBidi" w:hAnsiTheme="majorBidi" w:cstheme="majorBidi"/>
          <w:sz w:val="28"/>
          <w:szCs w:val="28"/>
        </w:rPr>
        <w:t>(3), 345-366.</w:t>
      </w:r>
    </w:p>
    <w:p w:rsidR="00370CAC" w:rsidRDefault="00370CAC" w:rsidP="00370CAC">
      <w:pPr>
        <w:rPr>
          <w:rFonts w:asciiTheme="majorBidi" w:hAnsiTheme="majorBidi" w:cstheme="majorBidi"/>
          <w:sz w:val="28"/>
          <w:szCs w:val="28"/>
        </w:rPr>
      </w:pPr>
      <w:r w:rsidRPr="00125666">
        <w:rPr>
          <w:rFonts w:asciiTheme="majorBidi" w:hAnsiTheme="majorBidi" w:cstheme="majorBidi"/>
          <w:b/>
          <w:bCs/>
          <w:sz w:val="28"/>
          <w:szCs w:val="28"/>
        </w:rPr>
        <w:t>Gounot, M. (1969).</w:t>
      </w:r>
      <w:r w:rsidRPr="00125666">
        <w:rPr>
          <w:rFonts w:asciiTheme="majorBidi" w:hAnsiTheme="majorBidi" w:cstheme="majorBidi"/>
          <w:sz w:val="28"/>
          <w:szCs w:val="28"/>
        </w:rPr>
        <w:t xml:space="preserve"> Methods for the quantitative study of vegetation. Methods for the quantitative study of vegetation.</w:t>
      </w:r>
    </w:p>
    <w:p w:rsidR="00370CAC" w:rsidRDefault="00370CAC" w:rsidP="00370CAC">
      <w:pPr>
        <w:rPr>
          <w:rFonts w:asciiTheme="majorBidi" w:hAnsiTheme="majorBidi" w:cstheme="majorBidi"/>
          <w:sz w:val="28"/>
          <w:szCs w:val="28"/>
        </w:rPr>
      </w:pPr>
      <w:r w:rsidRPr="00AE631B">
        <w:rPr>
          <w:rFonts w:asciiTheme="majorBidi" w:hAnsiTheme="majorBidi" w:cstheme="majorBidi"/>
          <w:b/>
          <w:bCs/>
          <w:sz w:val="28"/>
          <w:szCs w:val="28"/>
        </w:rPr>
        <w:t>Flahault, C., Schröter, C. (1910).</w:t>
      </w:r>
      <w:r w:rsidRPr="00AE631B">
        <w:rPr>
          <w:rFonts w:asciiTheme="majorBidi" w:hAnsiTheme="majorBidi" w:cstheme="majorBidi"/>
          <w:sz w:val="28"/>
          <w:szCs w:val="28"/>
        </w:rPr>
        <w:t xml:space="preserve"> Phytogeographical nomenclature, reports and propositions. Zurcher &amp; Furrer.</w:t>
      </w:r>
    </w:p>
    <w:p w:rsidR="00370CAC" w:rsidRDefault="00370CAC" w:rsidP="00370CAC">
      <w:pPr>
        <w:rPr>
          <w:rFonts w:asciiTheme="majorBidi" w:hAnsiTheme="majorBidi" w:cstheme="majorBidi"/>
          <w:sz w:val="28"/>
          <w:szCs w:val="28"/>
        </w:rPr>
      </w:pPr>
      <w:r w:rsidRPr="006205FC">
        <w:rPr>
          <w:rFonts w:asciiTheme="majorBidi" w:hAnsiTheme="majorBidi" w:cstheme="majorBidi"/>
          <w:b/>
          <w:bCs/>
          <w:sz w:val="28"/>
          <w:szCs w:val="28"/>
        </w:rPr>
        <w:t>Daget, P., Poissonet, J., Huguenin, J. (2010).</w:t>
      </w:r>
      <w:r w:rsidRPr="006205FC">
        <w:rPr>
          <w:rFonts w:asciiTheme="majorBidi" w:hAnsiTheme="majorBidi" w:cstheme="majorBidi"/>
          <w:sz w:val="28"/>
          <w:szCs w:val="28"/>
        </w:rPr>
        <w:t xml:space="preserve"> Prairies et Pâturages-Méthodes d'étude de terrain et interprétations.</w:t>
      </w:r>
    </w:p>
    <w:p w:rsidR="001C139C" w:rsidRDefault="00370CAC" w:rsidP="00370CAC">
      <w:r w:rsidRPr="00AA74B3">
        <w:rPr>
          <w:rFonts w:asciiTheme="majorBidi" w:hAnsiTheme="majorBidi" w:cstheme="majorBidi"/>
          <w:b/>
          <w:bCs/>
          <w:sz w:val="28"/>
          <w:szCs w:val="28"/>
        </w:rPr>
        <w:t xml:space="preserve">Levy, E. B., E. A. Madden. </w:t>
      </w:r>
      <w:r>
        <w:rPr>
          <w:rFonts w:asciiTheme="majorBidi" w:hAnsiTheme="majorBidi" w:cstheme="majorBidi"/>
          <w:b/>
          <w:bCs/>
          <w:sz w:val="28"/>
          <w:szCs w:val="28"/>
        </w:rPr>
        <w:t>(</w:t>
      </w:r>
      <w:r w:rsidRPr="00AA74B3">
        <w:rPr>
          <w:rFonts w:asciiTheme="majorBidi" w:hAnsiTheme="majorBidi" w:cstheme="majorBidi"/>
          <w:b/>
          <w:bCs/>
          <w:sz w:val="28"/>
          <w:szCs w:val="28"/>
        </w:rPr>
        <w:t>1933</w:t>
      </w:r>
      <w:r>
        <w:rPr>
          <w:rFonts w:asciiTheme="majorBidi" w:hAnsiTheme="majorBidi" w:cstheme="majorBidi"/>
          <w:b/>
          <w:bCs/>
          <w:sz w:val="28"/>
          <w:szCs w:val="28"/>
        </w:rPr>
        <w:t>)</w:t>
      </w:r>
      <w:r w:rsidRPr="00AA74B3">
        <w:rPr>
          <w:rFonts w:asciiTheme="majorBidi" w:hAnsiTheme="majorBidi" w:cstheme="majorBidi"/>
          <w:b/>
          <w:bCs/>
          <w:sz w:val="28"/>
          <w:szCs w:val="28"/>
        </w:rPr>
        <w:t>.</w:t>
      </w:r>
      <w:r w:rsidRPr="00EE200D">
        <w:rPr>
          <w:rFonts w:asciiTheme="majorBidi" w:hAnsiTheme="majorBidi" w:cstheme="majorBidi"/>
          <w:sz w:val="28"/>
          <w:szCs w:val="28"/>
        </w:rPr>
        <w:t xml:space="preserve"> The point method of pasture analysis. N. Z. Jour. Agr. 46:267-279.</w:t>
      </w:r>
    </w:p>
    <w:sectPr w:rsidR="001C139C" w:rsidSect="00EC39C7">
      <w:footerReference w:type="default" r:id="rId25"/>
      <w:pgSz w:w="11906" w:h="16838"/>
      <w:pgMar w:top="1417" w:right="1417" w:bottom="1417" w:left="1417" w:header="708" w:footer="708" w:gutter="0"/>
      <w:pgNumType w:start="25"/>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329" w:rsidRDefault="00A92329" w:rsidP="00EC39C7">
      <w:pPr>
        <w:spacing w:after="0" w:line="240" w:lineRule="auto"/>
      </w:pPr>
      <w:r>
        <w:separator/>
      </w:r>
    </w:p>
  </w:endnote>
  <w:endnote w:type="continuationSeparator" w:id="0">
    <w:p w:rsidR="00A92329" w:rsidRDefault="00A92329" w:rsidP="00EC3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674067"/>
      <w:docPartObj>
        <w:docPartGallery w:val="Page Numbers (Bottom of Page)"/>
        <w:docPartUnique/>
      </w:docPartObj>
    </w:sdtPr>
    <w:sdtContent>
      <w:p w:rsidR="00EC39C7" w:rsidRDefault="00EC39C7">
        <w:pPr>
          <w:pStyle w:val="Pieddepage"/>
          <w:jc w:val="center"/>
        </w:pPr>
        <w:r>
          <w:fldChar w:fldCharType="begin"/>
        </w:r>
        <w:r>
          <w:instrText>PAGE   \* MERGEFORMAT</w:instrText>
        </w:r>
        <w:r>
          <w:fldChar w:fldCharType="separate"/>
        </w:r>
        <w:r w:rsidR="00A92329">
          <w:rPr>
            <w:noProof/>
          </w:rPr>
          <w:t>25</w:t>
        </w:r>
        <w:r>
          <w:fldChar w:fldCharType="end"/>
        </w:r>
      </w:p>
    </w:sdtContent>
  </w:sdt>
  <w:p w:rsidR="00EC39C7" w:rsidRDefault="00EC39C7">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329" w:rsidRDefault="00A92329" w:rsidP="00EC39C7">
      <w:pPr>
        <w:spacing w:after="0" w:line="240" w:lineRule="auto"/>
      </w:pPr>
      <w:r>
        <w:separator/>
      </w:r>
    </w:p>
  </w:footnote>
  <w:footnote w:type="continuationSeparator" w:id="0">
    <w:p w:rsidR="00A92329" w:rsidRDefault="00A92329" w:rsidP="00EC39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883CCE"/>
    <w:multiLevelType w:val="multilevel"/>
    <w:tmpl w:val="BF0E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23442F"/>
    <w:multiLevelType w:val="multilevel"/>
    <w:tmpl w:val="0756C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1F4125"/>
    <w:multiLevelType w:val="multilevel"/>
    <w:tmpl w:val="FAAC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B94BBF"/>
    <w:multiLevelType w:val="multilevel"/>
    <w:tmpl w:val="3C2C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3773D6"/>
    <w:multiLevelType w:val="multilevel"/>
    <w:tmpl w:val="328A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1F4714"/>
    <w:multiLevelType w:val="multilevel"/>
    <w:tmpl w:val="09463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9D2CC1"/>
    <w:multiLevelType w:val="multilevel"/>
    <w:tmpl w:val="59FEC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0B1AF7"/>
    <w:multiLevelType w:val="multilevel"/>
    <w:tmpl w:val="664E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477E2C"/>
    <w:multiLevelType w:val="multilevel"/>
    <w:tmpl w:val="5F2E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110D18"/>
    <w:multiLevelType w:val="multilevel"/>
    <w:tmpl w:val="F1F8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F426C0"/>
    <w:multiLevelType w:val="hybridMultilevel"/>
    <w:tmpl w:val="E670D3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4"/>
  </w:num>
  <w:num w:numId="5">
    <w:abstractNumId w:val="7"/>
  </w:num>
  <w:num w:numId="6">
    <w:abstractNumId w:val="2"/>
  </w:num>
  <w:num w:numId="7">
    <w:abstractNumId w:val="10"/>
  </w:num>
  <w:num w:numId="8">
    <w:abstractNumId w:val="3"/>
  </w:num>
  <w:num w:numId="9">
    <w:abstractNumId w:val="6"/>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8CC"/>
    <w:rsid w:val="001C139C"/>
    <w:rsid w:val="00370CAC"/>
    <w:rsid w:val="00A92329"/>
    <w:rsid w:val="00BD38CC"/>
    <w:rsid w:val="00EC39C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91F603-F457-4966-A3CA-FAC2FAF4A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CA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70CAC"/>
    <w:pPr>
      <w:ind w:left="720"/>
      <w:contextualSpacing/>
    </w:pPr>
  </w:style>
  <w:style w:type="character" w:styleId="Lienhypertexte">
    <w:name w:val="Hyperlink"/>
    <w:basedOn w:val="Policepardfaut"/>
    <w:uiPriority w:val="99"/>
    <w:unhideWhenUsed/>
    <w:rsid w:val="00370CAC"/>
    <w:rPr>
      <w:color w:val="0000FF"/>
      <w:u w:val="single"/>
    </w:rPr>
  </w:style>
  <w:style w:type="paragraph" w:styleId="En-tte">
    <w:name w:val="header"/>
    <w:basedOn w:val="Normal"/>
    <w:link w:val="En-tteCar"/>
    <w:uiPriority w:val="99"/>
    <w:unhideWhenUsed/>
    <w:rsid w:val="00EC39C7"/>
    <w:pPr>
      <w:tabs>
        <w:tab w:val="center" w:pos="4536"/>
        <w:tab w:val="right" w:pos="9072"/>
      </w:tabs>
      <w:spacing w:after="0" w:line="240" w:lineRule="auto"/>
    </w:pPr>
  </w:style>
  <w:style w:type="character" w:customStyle="1" w:styleId="En-tteCar">
    <w:name w:val="En-tête Car"/>
    <w:basedOn w:val="Policepardfaut"/>
    <w:link w:val="En-tte"/>
    <w:uiPriority w:val="99"/>
    <w:rsid w:val="00EC39C7"/>
  </w:style>
  <w:style w:type="paragraph" w:styleId="Pieddepage">
    <w:name w:val="footer"/>
    <w:basedOn w:val="Normal"/>
    <w:link w:val="PieddepageCar"/>
    <w:uiPriority w:val="99"/>
    <w:unhideWhenUsed/>
    <w:rsid w:val="00EC39C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3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hyperlink" Target="https://www.bonobosworld.org/glossaire/abondanc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svtlyceedevienne.com/"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hyperlink" Target="https://www.bonobosworld.org/glossaire/abondanc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5446</Words>
  <Characters>29957</Characters>
  <Application>Microsoft Office Word</Application>
  <DocSecurity>0</DocSecurity>
  <Lines>249</Lines>
  <Paragraphs>70</Paragraphs>
  <ScaleCrop>false</ScaleCrop>
  <Company/>
  <LinksUpToDate>false</LinksUpToDate>
  <CharactersWithSpaces>35333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Administrateur</dc:creator>
  <cp:keywords/>
  <dc:description/>
  <cp:lastModifiedBy>Administrateur</cp:lastModifiedBy>
  <cp:revision>3</cp:revision>
  <dcterms:created xsi:type="dcterms:W3CDTF">2023-12-02T12:13:00Z</dcterms:created>
  <dcterms:modified xsi:type="dcterms:W3CDTF">2023-12-02T12:14:00Z</dcterms:modified>
</cp:coreProperties>
</file>