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6"/>
        <w:gridCol w:w="2112"/>
        <w:gridCol w:w="3630"/>
      </w:tblGrid>
      <w:tr w:rsidR="00BB249D" w:rsidRPr="00DF681B" w:rsidTr="00A650F6">
        <w:tc>
          <w:tcPr>
            <w:tcW w:w="4644" w:type="dxa"/>
          </w:tcPr>
          <w:p w:rsidR="00BB249D" w:rsidRPr="00DF681B" w:rsidRDefault="00BB249D" w:rsidP="00A650F6">
            <w:pPr>
              <w:pStyle w:val="En-tte"/>
              <w:rPr>
                <w:b/>
                <w:bCs/>
              </w:rPr>
            </w:pPr>
            <w:r w:rsidRPr="00DF681B">
              <w:rPr>
                <w:b/>
                <w:bCs/>
              </w:rPr>
              <w:t>CENTRE UNIVERSITAIRE ABDELHAAFID BOUSSOUF-MILA</w:t>
            </w:r>
          </w:p>
          <w:p w:rsidR="00BB249D" w:rsidRPr="00DF681B" w:rsidRDefault="00BB249D" w:rsidP="00A650F6">
            <w:pPr>
              <w:pStyle w:val="En-tte"/>
              <w:rPr>
                <w:b/>
                <w:bCs/>
              </w:rPr>
            </w:pPr>
            <w:r w:rsidRPr="00DF681B">
              <w:rPr>
                <w:b/>
                <w:bCs/>
              </w:rPr>
              <w:t>DOMAINE DES LETTRES ET LANGUES ETRANGERES</w:t>
            </w:r>
          </w:p>
          <w:p w:rsidR="00BB249D" w:rsidRPr="00DF681B" w:rsidRDefault="00BB249D" w:rsidP="00A650F6">
            <w:pPr>
              <w:pStyle w:val="En-tte"/>
              <w:rPr>
                <w:b/>
                <w:bCs/>
              </w:rPr>
            </w:pPr>
            <w:r w:rsidRPr="00DF681B">
              <w:rPr>
                <w:b/>
                <w:bCs/>
              </w:rPr>
              <w:t xml:space="preserve">Filière : Langue Française  </w:t>
            </w:r>
          </w:p>
        </w:tc>
        <w:tc>
          <w:tcPr>
            <w:tcW w:w="2268" w:type="dxa"/>
          </w:tcPr>
          <w:p w:rsidR="00BB249D" w:rsidRPr="00DF681B" w:rsidRDefault="00BB249D" w:rsidP="00A650F6">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7600" cy="954000"/>
                          </a:xfrm>
                          <a:prstGeom prst="rect">
                            <a:avLst/>
                          </a:prstGeom>
                        </pic:spPr>
                      </pic:pic>
                    </a:graphicData>
                  </a:graphic>
                </wp:inline>
              </w:drawing>
            </w:r>
          </w:p>
        </w:tc>
        <w:tc>
          <w:tcPr>
            <w:tcW w:w="4000" w:type="dxa"/>
          </w:tcPr>
          <w:p w:rsidR="00BB249D" w:rsidRPr="00DF681B" w:rsidRDefault="00BB249D" w:rsidP="00974784">
            <w:pPr>
              <w:pStyle w:val="En-tte"/>
              <w:rPr>
                <w:b/>
                <w:bCs/>
              </w:rPr>
            </w:pPr>
            <w:r w:rsidRPr="00DF681B">
              <w:rPr>
                <w:b/>
                <w:bCs/>
              </w:rPr>
              <w:t xml:space="preserve">Module assuré par : </w:t>
            </w:r>
            <w:proofErr w:type="spellStart"/>
            <w:r>
              <w:rPr>
                <w:b/>
                <w:bCs/>
              </w:rPr>
              <w:t>dre</w:t>
            </w:r>
            <w:proofErr w:type="spellEnd"/>
            <w:r>
              <w:rPr>
                <w:b/>
                <w:bCs/>
              </w:rPr>
              <w:t xml:space="preserve">. </w:t>
            </w:r>
            <w:proofErr w:type="spellStart"/>
            <w:r>
              <w:rPr>
                <w:b/>
                <w:bCs/>
              </w:rPr>
              <w:t>Boucherit</w:t>
            </w:r>
            <w:proofErr w:type="spellEnd"/>
            <w:r>
              <w:rPr>
                <w:b/>
                <w:bCs/>
              </w:rPr>
              <w:t xml:space="preserve"> </w:t>
            </w:r>
          </w:p>
          <w:p w:rsidR="00BB249D" w:rsidRPr="00DF681B" w:rsidRDefault="00BB249D" w:rsidP="00911EFF">
            <w:pPr>
              <w:pStyle w:val="En-tte"/>
              <w:rPr>
                <w:b/>
                <w:bCs/>
              </w:rPr>
            </w:pPr>
            <w:r w:rsidRPr="00DF681B">
              <w:rPr>
                <w:b/>
                <w:bCs/>
              </w:rPr>
              <w:t xml:space="preserve">Contact : </w:t>
            </w:r>
            <w:r w:rsidR="00911EFF">
              <w:t>jawh</w:t>
            </w:r>
            <w:r w:rsidR="00974784">
              <w:t>a</w:t>
            </w:r>
            <w:r w:rsidR="00911EFF">
              <w:t>ra.boucherit@gmail.com</w:t>
            </w:r>
          </w:p>
          <w:p w:rsidR="00BB249D" w:rsidRPr="00DF681B" w:rsidRDefault="00BB249D" w:rsidP="00BB249D">
            <w:pPr>
              <w:pStyle w:val="En-tte"/>
              <w:rPr>
                <w:b/>
                <w:bCs/>
              </w:rPr>
            </w:pPr>
            <w:r w:rsidRPr="00DF681B">
              <w:rPr>
                <w:b/>
                <w:bCs/>
              </w:rPr>
              <w:t xml:space="preserve">Cours </w:t>
            </w:r>
            <w:r>
              <w:rPr>
                <w:b/>
                <w:bCs/>
              </w:rPr>
              <w:t>3</w:t>
            </w:r>
          </w:p>
          <w:p w:rsidR="00BB249D" w:rsidRPr="00DF681B" w:rsidRDefault="00BB249D" w:rsidP="00A650F6">
            <w:pPr>
              <w:pStyle w:val="En-tte"/>
              <w:rPr>
                <w:b/>
                <w:bCs/>
              </w:rPr>
            </w:pPr>
            <w:r w:rsidRPr="00DF681B">
              <w:rPr>
                <w:b/>
                <w:bCs/>
              </w:rPr>
              <w:t xml:space="preserve">Durée : </w:t>
            </w:r>
            <w:r>
              <w:rPr>
                <w:b/>
                <w:bCs/>
              </w:rPr>
              <w:t>2</w:t>
            </w:r>
            <w:r w:rsidRPr="00DF681B">
              <w:rPr>
                <w:b/>
                <w:bCs/>
              </w:rPr>
              <w:t>heure</w:t>
            </w:r>
            <w:r>
              <w:rPr>
                <w:b/>
                <w:bCs/>
              </w:rPr>
              <w:t xml:space="preserve"> 15min</w:t>
            </w:r>
          </w:p>
          <w:p w:rsidR="00BB249D" w:rsidRPr="00DF681B" w:rsidRDefault="00BB249D" w:rsidP="00A650F6">
            <w:pPr>
              <w:pStyle w:val="En-tte"/>
            </w:pPr>
            <w:r w:rsidRPr="00DF681B">
              <w:rPr>
                <w:b/>
                <w:bCs/>
              </w:rPr>
              <w:t xml:space="preserve">Cours </w:t>
            </w:r>
            <w:proofErr w:type="gramStart"/>
            <w:r w:rsidRPr="00DF681B">
              <w:rPr>
                <w:b/>
                <w:bCs/>
              </w:rPr>
              <w:t>d</w:t>
            </w:r>
            <w:r>
              <w:rPr>
                <w:b/>
                <w:bCs/>
              </w:rPr>
              <w:t>estiné</w:t>
            </w:r>
            <w:proofErr w:type="gramEnd"/>
            <w:r>
              <w:rPr>
                <w:b/>
                <w:bCs/>
              </w:rPr>
              <w:t xml:space="preserve"> aux étudiants du Master 2 science du langage</w:t>
            </w:r>
          </w:p>
        </w:tc>
      </w:tr>
    </w:tbl>
    <w:p w:rsidR="00BB249D" w:rsidRDefault="00BB249D" w:rsidP="00BB249D">
      <w:pPr>
        <w:pStyle w:val="En-tte"/>
      </w:pPr>
    </w:p>
    <w:p w:rsidR="00FD3945" w:rsidRDefault="00024C95"/>
    <w:p w:rsidR="00BB249D" w:rsidRDefault="00BB249D">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49.05pt;margin-top:5.55pt;width:180.65pt;height:53.8pt;z-index:251658240;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BB249D" w:rsidRPr="004472D0" w:rsidRDefault="00BB249D" w:rsidP="00BB249D">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v:textbox>
          </v:shape>
        </w:pict>
      </w:r>
    </w:p>
    <w:p w:rsidR="00BB249D" w:rsidRDefault="00BB249D"/>
    <w:p w:rsidR="00BB249D" w:rsidRDefault="00BB249D" w:rsidP="00BB249D">
      <w:pPr>
        <w:jc w:val="both"/>
        <w:rPr>
          <w:rFonts w:ascii="Garamond" w:hAnsi="Garamond"/>
          <w:b/>
          <w:bCs/>
          <w:sz w:val="26"/>
          <w:szCs w:val="26"/>
        </w:rPr>
      </w:pPr>
    </w:p>
    <w:p w:rsidR="00BB249D" w:rsidRPr="004472D0" w:rsidRDefault="00BB249D" w:rsidP="00BB249D">
      <w:pPr>
        <w:jc w:val="both"/>
        <w:rPr>
          <w:rFonts w:ascii="Garamond" w:hAnsi="Garamond"/>
          <w:b/>
          <w:bCs/>
          <w:sz w:val="26"/>
          <w:szCs w:val="26"/>
        </w:rPr>
      </w:pPr>
      <w:r w:rsidRPr="004472D0">
        <w:rPr>
          <w:rFonts w:ascii="Garamond" w:hAnsi="Garamond"/>
          <w:b/>
          <w:bCs/>
          <w:sz w:val="26"/>
          <w:szCs w:val="26"/>
        </w:rPr>
        <w:t>Plan du cours :</w:t>
      </w:r>
    </w:p>
    <w:p w:rsidR="00BB249D" w:rsidRDefault="00BB249D" w:rsidP="00BB249D">
      <w:pPr>
        <w:pStyle w:val="Paragraphedeliste"/>
        <w:numPr>
          <w:ilvl w:val="0"/>
          <w:numId w:val="1"/>
        </w:numPr>
        <w:jc w:val="both"/>
        <w:rPr>
          <w:rFonts w:ascii="Garamond" w:hAnsi="Garamond"/>
          <w:sz w:val="26"/>
          <w:szCs w:val="26"/>
        </w:rPr>
      </w:pPr>
      <w:r w:rsidRPr="00D65DE9">
        <w:rPr>
          <w:rFonts w:ascii="Garamond" w:hAnsi="Garamond"/>
          <w:sz w:val="26"/>
          <w:szCs w:val="26"/>
        </w:rPr>
        <w:t xml:space="preserve">Définition de </w:t>
      </w:r>
      <w:r>
        <w:rPr>
          <w:rFonts w:ascii="Garamond" w:hAnsi="Garamond"/>
          <w:sz w:val="26"/>
          <w:szCs w:val="26"/>
        </w:rPr>
        <w:t xml:space="preserve">la théorie interprétative </w:t>
      </w:r>
    </w:p>
    <w:p w:rsidR="00BB249D" w:rsidRPr="00D65DE9" w:rsidRDefault="00BB249D" w:rsidP="00BB249D">
      <w:pPr>
        <w:pStyle w:val="Paragraphedeliste"/>
        <w:numPr>
          <w:ilvl w:val="0"/>
          <w:numId w:val="1"/>
        </w:numPr>
        <w:jc w:val="both"/>
        <w:rPr>
          <w:rFonts w:ascii="Garamond" w:hAnsi="Garamond"/>
          <w:sz w:val="26"/>
          <w:szCs w:val="26"/>
        </w:rPr>
      </w:pPr>
      <w:r>
        <w:rPr>
          <w:rFonts w:ascii="Garamond" w:hAnsi="Garamond"/>
          <w:sz w:val="26"/>
          <w:szCs w:val="26"/>
        </w:rPr>
        <w:t>Les principes de cette théorie</w:t>
      </w:r>
    </w:p>
    <w:p w:rsidR="00BB249D" w:rsidRPr="00BB249D" w:rsidRDefault="00BB249D" w:rsidP="00BB249D">
      <w:pPr>
        <w:ind w:left="426"/>
        <w:jc w:val="both"/>
        <w:rPr>
          <w:rFonts w:ascii="Garamond" w:hAnsi="Garamond"/>
          <w:sz w:val="26"/>
          <w:szCs w:val="26"/>
        </w:rPr>
      </w:pPr>
    </w:p>
    <w:p w:rsidR="00BB249D" w:rsidRPr="00EC1FFF" w:rsidRDefault="00BB249D" w:rsidP="00BB249D">
      <w:pPr>
        <w:jc w:val="both"/>
        <w:rPr>
          <w:rFonts w:ascii="Garamond" w:hAnsi="Garamond"/>
          <w:b/>
          <w:bCs/>
          <w:sz w:val="26"/>
          <w:szCs w:val="26"/>
        </w:rPr>
      </w:pPr>
      <w:r w:rsidRPr="00EC1FFF">
        <w:rPr>
          <w:rFonts w:ascii="Garamond" w:hAnsi="Garamond"/>
          <w:b/>
          <w:bCs/>
          <w:sz w:val="26"/>
          <w:szCs w:val="26"/>
        </w:rPr>
        <w:t>Support didactique du cours :</w:t>
      </w:r>
    </w:p>
    <w:p w:rsidR="00BB249D" w:rsidRPr="00EA34AC" w:rsidRDefault="00EA34AC" w:rsidP="00EA34AC">
      <w:pPr>
        <w:pStyle w:val="Paragraphedeliste"/>
        <w:numPr>
          <w:ilvl w:val="0"/>
          <w:numId w:val="3"/>
        </w:numPr>
        <w:spacing w:after="0" w:line="480" w:lineRule="auto"/>
        <w:ind w:left="714" w:hanging="357"/>
        <w:rPr>
          <w:rFonts w:asciiTheme="majorBidi" w:hAnsiTheme="majorBidi" w:cstheme="majorBidi"/>
          <w:sz w:val="24"/>
          <w:szCs w:val="24"/>
        </w:rPr>
      </w:pPr>
      <w:proofErr w:type="spellStart"/>
      <w:r w:rsidRPr="00EA34AC">
        <w:rPr>
          <w:rFonts w:asciiTheme="majorBidi" w:hAnsiTheme="majorBidi" w:cstheme="majorBidi"/>
          <w:sz w:val="24"/>
          <w:szCs w:val="24"/>
        </w:rPr>
        <w:t>Lederer</w:t>
      </w:r>
      <w:proofErr w:type="spellEnd"/>
      <w:r w:rsidRPr="00EA34AC">
        <w:rPr>
          <w:rFonts w:asciiTheme="majorBidi" w:hAnsiTheme="majorBidi" w:cstheme="majorBidi"/>
          <w:sz w:val="24"/>
          <w:szCs w:val="24"/>
        </w:rPr>
        <w:t xml:space="preserve"> Marianne. Interpréter pour traduire – La Théorie Interprétative de la Traduction (TIT). In: Équivalences, 43e année-n°1-2, 2016. pp. 5-</w:t>
      </w:r>
      <w:proofErr w:type="gramStart"/>
      <w:r w:rsidRPr="00EA34AC">
        <w:rPr>
          <w:rFonts w:asciiTheme="majorBidi" w:hAnsiTheme="majorBidi" w:cstheme="majorBidi"/>
          <w:sz w:val="24"/>
          <w:szCs w:val="24"/>
        </w:rPr>
        <w:t>30 .</w:t>
      </w:r>
      <w:proofErr w:type="gramEnd"/>
      <w:r w:rsidRPr="00EA34AC">
        <w:rPr>
          <w:rFonts w:asciiTheme="majorBidi" w:hAnsiTheme="majorBidi" w:cstheme="majorBidi"/>
          <w:sz w:val="24"/>
          <w:szCs w:val="24"/>
        </w:rPr>
        <w:t xml:space="preserve"> </w:t>
      </w:r>
      <w:proofErr w:type="gramStart"/>
      <w:r w:rsidRPr="00EA34AC">
        <w:rPr>
          <w:rFonts w:asciiTheme="majorBidi" w:hAnsiTheme="majorBidi" w:cstheme="majorBidi"/>
          <w:sz w:val="24"/>
          <w:szCs w:val="24"/>
        </w:rPr>
        <w:t>( article</w:t>
      </w:r>
      <w:proofErr w:type="gramEnd"/>
      <w:r w:rsidRPr="00EA34AC">
        <w:rPr>
          <w:rFonts w:asciiTheme="majorBidi" w:hAnsiTheme="majorBidi" w:cstheme="majorBidi"/>
          <w:sz w:val="24"/>
          <w:szCs w:val="24"/>
        </w:rPr>
        <w:t xml:space="preserve"> disponible sur le lien https://www.persee.fr/docAsPDF/equiv_0751-9532_2016_num_43_1_1479.pdf)</w:t>
      </w:r>
    </w:p>
    <w:p w:rsidR="00BB249D" w:rsidRDefault="00235683" w:rsidP="00EA34AC">
      <w:pPr>
        <w:pStyle w:val="Paragraphedeliste"/>
        <w:numPr>
          <w:ilvl w:val="0"/>
          <w:numId w:val="3"/>
        </w:numPr>
        <w:spacing w:after="0" w:line="480" w:lineRule="auto"/>
        <w:ind w:left="714" w:hanging="357"/>
      </w:pPr>
      <w:r w:rsidRPr="00EA34AC">
        <w:rPr>
          <w:rFonts w:asciiTheme="majorBidi" w:hAnsiTheme="majorBidi" w:cstheme="majorBidi"/>
          <w:sz w:val="24"/>
          <w:szCs w:val="24"/>
        </w:rPr>
        <w:t xml:space="preserve">Florence Herbulot, La Théorie interprétative ou Théorie du sens : point de vue d’une </w:t>
      </w:r>
      <w:proofErr w:type="gramStart"/>
      <w:r w:rsidRPr="00EA34AC">
        <w:rPr>
          <w:rFonts w:asciiTheme="majorBidi" w:hAnsiTheme="majorBidi" w:cstheme="majorBidi"/>
          <w:sz w:val="24"/>
          <w:szCs w:val="24"/>
        </w:rPr>
        <w:t>praticienne ,</w:t>
      </w:r>
      <w:proofErr w:type="gramEnd"/>
      <w:r w:rsidRPr="00EA34AC">
        <w:rPr>
          <w:rFonts w:asciiTheme="majorBidi" w:hAnsiTheme="majorBidi" w:cstheme="majorBidi"/>
          <w:sz w:val="24"/>
          <w:szCs w:val="24"/>
        </w:rPr>
        <w:t xml:space="preserve"> </w:t>
      </w:r>
      <w:r w:rsidRPr="00EA34AC">
        <w:rPr>
          <w:rFonts w:asciiTheme="majorBidi" w:hAnsiTheme="majorBidi" w:cstheme="majorBidi"/>
          <w:color w:val="000000"/>
          <w:sz w:val="24"/>
          <w:szCs w:val="24"/>
          <w:shd w:val="clear" w:color="auto" w:fill="FFFFFF"/>
        </w:rPr>
        <w:t>Meta,</w:t>
      </w:r>
      <w:r w:rsidRPr="00EA34AC">
        <w:rPr>
          <w:rFonts w:asciiTheme="majorBidi" w:hAnsiTheme="majorBidi" w:cstheme="majorBidi"/>
          <w:sz w:val="24"/>
          <w:szCs w:val="24"/>
        </w:rPr>
        <w:t xml:space="preserve"> Volume 49, numéro 2, juin 2004,</w:t>
      </w:r>
      <w:proofErr w:type="spellStart"/>
      <w:r w:rsidRPr="00EA34AC">
        <w:rPr>
          <w:rFonts w:asciiTheme="majorBidi" w:hAnsiTheme="majorBidi" w:cstheme="majorBidi"/>
          <w:sz w:val="24"/>
          <w:szCs w:val="24"/>
        </w:rPr>
        <w:t>p.p</w:t>
      </w:r>
      <w:proofErr w:type="spellEnd"/>
      <w:r w:rsidRPr="00EA34AC">
        <w:rPr>
          <w:rFonts w:asciiTheme="majorBidi" w:hAnsiTheme="majorBidi" w:cstheme="majorBidi"/>
          <w:sz w:val="24"/>
          <w:szCs w:val="24"/>
        </w:rPr>
        <w:t xml:space="preserve">  307–315. (article disponible sur le lien </w:t>
      </w:r>
      <w:hyperlink r:id="rId6" w:history="1">
        <w:r w:rsidRPr="00EA34AC">
          <w:rPr>
            <w:rStyle w:val="Lienhypertexte"/>
            <w:rFonts w:asciiTheme="majorBidi" w:hAnsiTheme="majorBidi" w:cstheme="majorBidi"/>
            <w:sz w:val="24"/>
            <w:szCs w:val="24"/>
          </w:rPr>
          <w:t>https://www.erudit.org/fr/revues/meta/2004-v49-n2-meta770/009353ar.pdf</w:t>
        </w:r>
      </w:hyperlink>
      <w:r>
        <w:t xml:space="preserve">) </w:t>
      </w:r>
    </w:p>
    <w:p w:rsidR="00BB249D" w:rsidRPr="001D0F57" w:rsidRDefault="00BB249D" w:rsidP="00BB249D">
      <w:pPr>
        <w:jc w:val="both"/>
        <w:rPr>
          <w:rFonts w:ascii="Garamond" w:hAnsi="Garamond"/>
          <w:b/>
          <w:bCs/>
          <w:sz w:val="26"/>
          <w:szCs w:val="26"/>
        </w:rPr>
      </w:pPr>
      <w:proofErr w:type="spellStart"/>
      <w:r w:rsidRPr="001D0F57">
        <w:rPr>
          <w:rFonts w:ascii="Garamond" w:hAnsi="Garamond"/>
          <w:b/>
          <w:bCs/>
          <w:sz w:val="26"/>
          <w:szCs w:val="26"/>
        </w:rPr>
        <w:t>Prérequis</w:t>
      </w:r>
      <w:proofErr w:type="spellEnd"/>
      <w:r w:rsidRPr="001D0F57">
        <w:rPr>
          <w:rFonts w:ascii="Garamond" w:hAnsi="Garamond"/>
          <w:b/>
          <w:bCs/>
          <w:sz w:val="26"/>
          <w:szCs w:val="26"/>
        </w:rPr>
        <w:t> :</w:t>
      </w:r>
    </w:p>
    <w:p w:rsidR="00BB249D" w:rsidRDefault="00BB249D" w:rsidP="00BB249D">
      <w:pPr>
        <w:pStyle w:val="Paragraphedeliste"/>
        <w:numPr>
          <w:ilvl w:val="0"/>
          <w:numId w:val="2"/>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BB249D" w:rsidRDefault="00BB249D" w:rsidP="00BB249D">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BB249D" w:rsidRPr="00D41FC3" w:rsidRDefault="00BB249D" w:rsidP="00BB249D">
      <w:pPr>
        <w:jc w:val="both"/>
        <w:rPr>
          <w:rFonts w:ascii="Garamond" w:hAnsi="Garamond"/>
          <w:b/>
          <w:bCs/>
          <w:sz w:val="26"/>
          <w:szCs w:val="26"/>
        </w:rPr>
      </w:pPr>
      <w:r w:rsidRPr="00D41FC3">
        <w:rPr>
          <w:rFonts w:ascii="Garamond" w:hAnsi="Garamond"/>
          <w:b/>
          <w:bCs/>
          <w:sz w:val="26"/>
          <w:szCs w:val="26"/>
        </w:rPr>
        <w:t>Travaux dirigés :</w:t>
      </w:r>
    </w:p>
    <w:p w:rsidR="00235683" w:rsidRDefault="00BB249D" w:rsidP="00353A43">
      <w:pPr>
        <w:jc w:val="both"/>
        <w:rPr>
          <w:rFonts w:ascii="Garamond" w:hAnsi="Garamond"/>
          <w:sz w:val="26"/>
          <w:szCs w:val="26"/>
        </w:rPr>
      </w:pPr>
      <w:r>
        <w:rPr>
          <w:rFonts w:ascii="Garamond" w:hAnsi="Garamond"/>
          <w:sz w:val="26"/>
          <w:szCs w:val="26"/>
        </w:rPr>
        <w:t>Un discours politique à analyser et traduire.</w:t>
      </w:r>
    </w:p>
    <w:p w:rsidR="001B0F23" w:rsidRPr="00353A43" w:rsidRDefault="001B0F23" w:rsidP="00353A43">
      <w:pPr>
        <w:jc w:val="both"/>
        <w:rPr>
          <w:rFonts w:ascii="Garamond" w:hAnsi="Garamond"/>
          <w:sz w:val="26"/>
          <w:szCs w:val="26"/>
        </w:rPr>
      </w:pPr>
    </w:p>
    <w:p w:rsidR="00235683" w:rsidRDefault="00235683"/>
    <w:p w:rsidR="00235683" w:rsidRDefault="00567E57" w:rsidP="00235683">
      <w:pPr>
        <w:spacing w:after="0" w:line="480" w:lineRule="auto"/>
        <w:rPr>
          <w:rFonts w:asciiTheme="majorBidi" w:hAnsiTheme="majorBidi" w:cstheme="majorBidi"/>
          <w:b/>
          <w:bCs/>
          <w:sz w:val="24"/>
          <w:szCs w:val="24"/>
        </w:rPr>
      </w:pPr>
      <w:r w:rsidRPr="00567E57">
        <w:rPr>
          <w:rFonts w:asciiTheme="majorBidi" w:hAnsiTheme="majorBidi" w:cstheme="majorBidi"/>
          <w:b/>
          <w:bCs/>
          <w:sz w:val="24"/>
          <w:szCs w:val="24"/>
        </w:rPr>
        <w:lastRenderedPageBreak/>
        <w:t xml:space="preserve">1. Définition de la théorie interprétative </w:t>
      </w:r>
    </w:p>
    <w:p w:rsidR="00BD3156" w:rsidRPr="001F4D60" w:rsidRDefault="00EA34AC" w:rsidP="00D864C2">
      <w:pPr>
        <w:spacing w:after="0" w:line="480" w:lineRule="auto"/>
        <w:jc w:val="both"/>
        <w:rPr>
          <w:rFonts w:asciiTheme="majorBidi" w:hAnsiTheme="majorBidi" w:cstheme="majorBidi"/>
          <w:sz w:val="24"/>
          <w:szCs w:val="24"/>
        </w:rPr>
      </w:pPr>
      <w:r w:rsidRPr="00EA34AC">
        <w:rPr>
          <w:rFonts w:asciiTheme="majorBidi" w:hAnsiTheme="majorBidi" w:cstheme="majorBidi"/>
          <w:sz w:val="24"/>
          <w:szCs w:val="24"/>
        </w:rPr>
        <w:t xml:space="preserve">   </w:t>
      </w:r>
      <w:r w:rsidR="00BD3156">
        <w:rPr>
          <w:rFonts w:asciiTheme="majorBidi" w:hAnsiTheme="majorBidi" w:cstheme="majorBidi"/>
          <w:sz w:val="24"/>
          <w:szCs w:val="24"/>
        </w:rPr>
        <w:t xml:space="preserve">  </w:t>
      </w:r>
      <w:r w:rsidRPr="00EA34AC">
        <w:rPr>
          <w:rFonts w:asciiTheme="majorBidi" w:hAnsiTheme="majorBidi" w:cstheme="majorBidi"/>
          <w:sz w:val="24"/>
          <w:szCs w:val="24"/>
        </w:rPr>
        <w:t xml:space="preserve"> </w:t>
      </w:r>
      <w:r w:rsidR="00BD3156" w:rsidRPr="001F4D60">
        <w:rPr>
          <w:rFonts w:asciiTheme="majorBidi" w:hAnsiTheme="majorBidi" w:cstheme="majorBidi"/>
          <w:sz w:val="24"/>
          <w:szCs w:val="24"/>
        </w:rPr>
        <w:t xml:space="preserve">La Théorie interprétative de la traduction, appelée par certains « théorie du sens » ou « théorie de l’École de Paris », est sortie du cerveau de </w:t>
      </w:r>
      <w:proofErr w:type="spellStart"/>
      <w:r w:rsidR="00BD3156" w:rsidRPr="001F4D60">
        <w:rPr>
          <w:rFonts w:asciiTheme="majorBidi" w:hAnsiTheme="majorBidi" w:cstheme="majorBidi"/>
          <w:sz w:val="24"/>
          <w:szCs w:val="24"/>
        </w:rPr>
        <w:t>Danica</w:t>
      </w:r>
      <w:proofErr w:type="spellEnd"/>
      <w:r w:rsidR="00BD3156" w:rsidRPr="001F4D60">
        <w:rPr>
          <w:rFonts w:asciiTheme="majorBidi" w:hAnsiTheme="majorBidi" w:cstheme="majorBidi"/>
          <w:sz w:val="24"/>
          <w:szCs w:val="24"/>
        </w:rPr>
        <w:t xml:space="preserve"> </w:t>
      </w:r>
      <w:proofErr w:type="spellStart"/>
      <w:r w:rsidR="00BD3156" w:rsidRPr="001F4D60">
        <w:rPr>
          <w:rFonts w:asciiTheme="majorBidi" w:hAnsiTheme="majorBidi" w:cstheme="majorBidi"/>
          <w:sz w:val="24"/>
          <w:szCs w:val="24"/>
        </w:rPr>
        <w:t>Seleskovitch</w:t>
      </w:r>
      <w:proofErr w:type="spellEnd"/>
      <w:r w:rsidR="00BD3156" w:rsidRPr="001F4D60">
        <w:rPr>
          <w:rFonts w:asciiTheme="majorBidi" w:hAnsiTheme="majorBidi" w:cstheme="majorBidi"/>
          <w:sz w:val="24"/>
          <w:szCs w:val="24"/>
        </w:rPr>
        <w:t xml:space="preserve">. On ne peut en effet parler de la Théorie interprétative de la traduction sans mettre en avant son fondateur ; </w:t>
      </w:r>
      <w:proofErr w:type="spellStart"/>
      <w:r w:rsidR="00BD3156" w:rsidRPr="001F4D60">
        <w:rPr>
          <w:rFonts w:asciiTheme="majorBidi" w:hAnsiTheme="majorBidi" w:cstheme="majorBidi"/>
          <w:sz w:val="24"/>
          <w:szCs w:val="24"/>
        </w:rPr>
        <w:t>Danica</w:t>
      </w:r>
      <w:proofErr w:type="spellEnd"/>
      <w:r w:rsidR="00BD3156" w:rsidRPr="001F4D60">
        <w:rPr>
          <w:rFonts w:asciiTheme="majorBidi" w:hAnsiTheme="majorBidi" w:cstheme="majorBidi"/>
          <w:sz w:val="24"/>
          <w:szCs w:val="24"/>
        </w:rPr>
        <w:t xml:space="preserve"> </w:t>
      </w:r>
      <w:proofErr w:type="spellStart"/>
      <w:r w:rsidR="00BD3156" w:rsidRPr="001F4D60">
        <w:rPr>
          <w:rFonts w:asciiTheme="majorBidi" w:hAnsiTheme="majorBidi" w:cstheme="majorBidi"/>
          <w:sz w:val="24"/>
          <w:szCs w:val="24"/>
        </w:rPr>
        <w:t>Seleskovitch</w:t>
      </w:r>
      <w:proofErr w:type="spellEnd"/>
      <w:r w:rsidR="00BD3156" w:rsidRPr="001F4D60">
        <w:rPr>
          <w:rFonts w:asciiTheme="majorBidi" w:hAnsiTheme="majorBidi" w:cstheme="majorBidi"/>
          <w:sz w:val="24"/>
          <w:szCs w:val="24"/>
        </w:rPr>
        <w:t xml:space="preserve">, </w:t>
      </w:r>
      <w:r w:rsidR="00BD3156" w:rsidRPr="001F4D60">
        <w:rPr>
          <w:rFonts w:asciiTheme="majorBidi" w:hAnsiTheme="majorBidi" w:cstheme="majorBidi"/>
          <w:color w:val="202122"/>
          <w:sz w:val="24"/>
          <w:szCs w:val="24"/>
          <w:shd w:val="clear" w:color="auto" w:fill="FFFFFF"/>
        </w:rPr>
        <w:t xml:space="preserve">une française spécialiste de la traduction et ancienne directrice de </w:t>
      </w:r>
      <w:r w:rsidR="00BD3156" w:rsidRPr="001F4D60">
        <w:rPr>
          <w:rFonts w:asciiTheme="majorBidi" w:hAnsiTheme="majorBidi" w:cstheme="majorBidi"/>
          <w:sz w:val="24"/>
          <w:szCs w:val="24"/>
          <w:shd w:val="clear" w:color="auto" w:fill="FFFFFF"/>
        </w:rPr>
        <w:t>l'</w:t>
      </w:r>
      <w:hyperlink r:id="rId7" w:tooltip="École supérieure d'interprètes et de traducteurs" w:history="1">
        <w:r w:rsidR="00BD3156" w:rsidRPr="001F4D60">
          <w:rPr>
            <w:rStyle w:val="Lienhypertexte"/>
            <w:rFonts w:asciiTheme="majorBidi" w:hAnsiTheme="majorBidi" w:cstheme="majorBidi"/>
            <w:color w:val="auto"/>
            <w:sz w:val="24"/>
            <w:szCs w:val="24"/>
            <w:u w:val="none"/>
            <w:shd w:val="clear" w:color="auto" w:fill="FFFFFF"/>
          </w:rPr>
          <w:t>École supérieure des interprètes et traducteurs de Paris</w:t>
        </w:r>
      </w:hyperlink>
      <w:r w:rsidR="00BD3156" w:rsidRPr="001F4D60">
        <w:rPr>
          <w:rFonts w:asciiTheme="majorBidi" w:hAnsiTheme="majorBidi" w:cstheme="majorBidi"/>
          <w:sz w:val="24"/>
          <w:szCs w:val="24"/>
          <w:shd w:val="clear" w:color="auto" w:fill="FFFFFF"/>
        </w:rPr>
        <w:t> </w:t>
      </w:r>
      <w:r w:rsidR="00BD3156" w:rsidRPr="001F4D60">
        <w:rPr>
          <w:rFonts w:asciiTheme="majorBidi" w:hAnsiTheme="majorBidi" w:cstheme="majorBidi"/>
          <w:i/>
          <w:iCs/>
          <w:sz w:val="24"/>
          <w:szCs w:val="24"/>
          <w:shd w:val="clear" w:color="auto" w:fill="FFFFFF"/>
        </w:rPr>
        <w:t>(ESIT</w:t>
      </w:r>
      <w:r w:rsidR="00BD3156" w:rsidRPr="001F4D60">
        <w:rPr>
          <w:rFonts w:asciiTheme="majorBidi" w:hAnsiTheme="majorBidi" w:cstheme="majorBidi"/>
          <w:i/>
          <w:iCs/>
          <w:color w:val="202122"/>
          <w:sz w:val="24"/>
          <w:szCs w:val="24"/>
          <w:shd w:val="clear" w:color="auto" w:fill="FFFFFF"/>
        </w:rPr>
        <w:t>), Université Paris 3 - Sorbonne Nouvelle</w:t>
      </w:r>
      <w:r w:rsidR="00BD3156" w:rsidRPr="001F4D60">
        <w:rPr>
          <w:rFonts w:asciiTheme="majorBidi" w:hAnsiTheme="majorBidi" w:cstheme="majorBidi"/>
          <w:color w:val="202122"/>
          <w:sz w:val="24"/>
          <w:szCs w:val="24"/>
          <w:shd w:val="clear" w:color="auto" w:fill="FFFFFF"/>
        </w:rPr>
        <w:t xml:space="preserve">, </w:t>
      </w:r>
      <w:hyperlink r:id="rId8" w:tooltip="Interprétation de conférence" w:history="1">
        <w:r w:rsidR="001F4D60" w:rsidRPr="001F4D60">
          <w:rPr>
            <w:rStyle w:val="Lienhypertexte"/>
            <w:rFonts w:asciiTheme="majorBidi" w:hAnsiTheme="majorBidi" w:cstheme="majorBidi"/>
            <w:color w:val="auto"/>
            <w:sz w:val="24"/>
            <w:szCs w:val="24"/>
            <w:u w:val="none"/>
            <w:shd w:val="clear" w:color="auto" w:fill="FFFFFF"/>
          </w:rPr>
          <w:t>et i</w:t>
        </w:r>
        <w:r w:rsidR="00BD3156" w:rsidRPr="001F4D60">
          <w:rPr>
            <w:rStyle w:val="Lienhypertexte"/>
            <w:rFonts w:asciiTheme="majorBidi" w:hAnsiTheme="majorBidi" w:cstheme="majorBidi"/>
            <w:color w:val="auto"/>
            <w:sz w:val="24"/>
            <w:szCs w:val="24"/>
            <w:u w:val="none"/>
            <w:shd w:val="clear" w:color="auto" w:fill="FFFFFF"/>
          </w:rPr>
          <w:t>nterprète de</w:t>
        </w:r>
      </w:hyperlink>
      <w:r w:rsidR="00BD3156" w:rsidRPr="001F4D60">
        <w:rPr>
          <w:rFonts w:asciiTheme="majorBidi" w:hAnsiTheme="majorBidi" w:cstheme="majorBidi"/>
          <w:sz w:val="24"/>
          <w:szCs w:val="24"/>
          <w:shd w:val="clear" w:color="auto" w:fill="FFFFFF"/>
        </w:rPr>
        <w:t> conférence elle-même. </w:t>
      </w:r>
      <w:hyperlink r:id="rId9" w:tooltip="Danica Seleskovitch" w:history="1">
        <w:proofErr w:type="spellStart"/>
        <w:r w:rsidR="00BD3156" w:rsidRPr="001F4D60">
          <w:rPr>
            <w:rStyle w:val="Lienhypertexte"/>
            <w:rFonts w:asciiTheme="majorBidi" w:hAnsiTheme="majorBidi" w:cstheme="majorBidi"/>
            <w:color w:val="auto"/>
            <w:sz w:val="24"/>
            <w:szCs w:val="24"/>
            <w:u w:val="none"/>
            <w:shd w:val="clear" w:color="auto" w:fill="FFFFFF"/>
          </w:rPr>
          <w:t>Seleskovitch</w:t>
        </w:r>
        <w:proofErr w:type="spellEnd"/>
      </w:hyperlink>
      <w:r w:rsidR="00BD3156" w:rsidRPr="001F4D60">
        <w:rPr>
          <w:rFonts w:asciiTheme="majorBidi" w:hAnsiTheme="majorBidi" w:cstheme="majorBidi"/>
          <w:color w:val="202122"/>
          <w:sz w:val="24"/>
          <w:szCs w:val="24"/>
          <w:shd w:val="clear" w:color="auto" w:fill="FFFFFF"/>
        </w:rPr>
        <w:t> </w:t>
      </w:r>
      <w:r w:rsidR="001F4D60" w:rsidRPr="001F4D60">
        <w:rPr>
          <w:rFonts w:asciiTheme="majorBidi" w:hAnsiTheme="majorBidi" w:cstheme="majorBidi"/>
          <w:color w:val="202122"/>
          <w:sz w:val="24"/>
          <w:szCs w:val="24"/>
          <w:shd w:val="clear" w:color="auto" w:fill="FFFFFF"/>
        </w:rPr>
        <w:t>s’est opposée à</w:t>
      </w:r>
      <w:r w:rsidR="00BD3156" w:rsidRPr="001F4D60">
        <w:rPr>
          <w:rFonts w:asciiTheme="majorBidi" w:hAnsiTheme="majorBidi" w:cstheme="majorBidi"/>
          <w:color w:val="202122"/>
          <w:sz w:val="24"/>
          <w:szCs w:val="24"/>
          <w:shd w:val="clear" w:color="auto" w:fill="FFFFFF"/>
        </w:rPr>
        <w:t xml:space="preserve"> l'opinion qui prévalait à l'époque selon laquelle la </w:t>
      </w:r>
      <w:hyperlink r:id="rId10" w:tooltip="" w:history="1">
        <w:r w:rsidR="00BD3156" w:rsidRPr="001F4D60">
          <w:rPr>
            <w:rStyle w:val="Lienhypertexte"/>
            <w:rFonts w:asciiTheme="majorBidi" w:hAnsiTheme="majorBidi" w:cstheme="majorBidi"/>
            <w:color w:val="auto"/>
            <w:sz w:val="24"/>
            <w:szCs w:val="24"/>
            <w:u w:val="none"/>
            <w:shd w:val="clear" w:color="auto" w:fill="FFFFFF"/>
          </w:rPr>
          <w:t>traduction</w:t>
        </w:r>
      </w:hyperlink>
      <w:r w:rsidR="00BD3156" w:rsidRPr="001F4D60">
        <w:rPr>
          <w:rFonts w:asciiTheme="majorBidi" w:hAnsiTheme="majorBidi" w:cstheme="majorBidi"/>
          <w:color w:val="202122"/>
          <w:sz w:val="24"/>
          <w:szCs w:val="24"/>
          <w:shd w:val="clear" w:color="auto" w:fill="FFFFFF"/>
        </w:rPr>
        <w:t> n'était rien de plus qu'une activité linguistique, une langue étant simplement transcodée en une autre.</w:t>
      </w:r>
      <w:r w:rsidR="00BD3156" w:rsidRPr="001F4D60">
        <w:rPr>
          <w:rFonts w:asciiTheme="majorBidi" w:hAnsiTheme="majorBidi" w:cstheme="majorBidi"/>
          <w:sz w:val="24"/>
          <w:szCs w:val="24"/>
        </w:rPr>
        <w:t xml:space="preserve"> </w:t>
      </w:r>
      <w:r w:rsidR="001F4D60" w:rsidRPr="001F4D60">
        <w:rPr>
          <w:rFonts w:asciiTheme="majorBidi" w:hAnsiTheme="majorBidi" w:cstheme="majorBidi"/>
          <w:sz w:val="24"/>
          <w:szCs w:val="24"/>
        </w:rPr>
        <w:t xml:space="preserve">Elle </w:t>
      </w:r>
      <w:r w:rsidR="00BD3156" w:rsidRPr="001F4D60">
        <w:rPr>
          <w:rFonts w:asciiTheme="majorBidi" w:hAnsiTheme="majorBidi" w:cstheme="majorBidi"/>
          <w:sz w:val="24"/>
          <w:szCs w:val="24"/>
        </w:rPr>
        <w:t xml:space="preserve">a </w:t>
      </w:r>
      <w:r w:rsidR="001F4D60">
        <w:rPr>
          <w:rFonts w:asciiTheme="majorBidi" w:hAnsiTheme="majorBidi" w:cstheme="majorBidi"/>
          <w:sz w:val="24"/>
          <w:szCs w:val="24"/>
        </w:rPr>
        <w:t xml:space="preserve">donc </w:t>
      </w:r>
      <w:r w:rsidR="001F4D60" w:rsidRPr="001F4D60">
        <w:rPr>
          <w:rFonts w:asciiTheme="majorBidi" w:hAnsiTheme="majorBidi" w:cstheme="majorBidi"/>
          <w:sz w:val="24"/>
          <w:szCs w:val="24"/>
        </w:rPr>
        <w:t>établi</w:t>
      </w:r>
      <w:r w:rsidR="00BD3156" w:rsidRPr="001F4D60">
        <w:rPr>
          <w:rFonts w:asciiTheme="majorBidi" w:hAnsiTheme="majorBidi" w:cstheme="majorBidi"/>
          <w:sz w:val="24"/>
          <w:szCs w:val="24"/>
        </w:rPr>
        <w:t xml:space="preserve"> les fondements de cette théorie</w:t>
      </w:r>
      <w:r w:rsidR="00D864C2">
        <w:rPr>
          <w:rFonts w:asciiTheme="majorBidi" w:hAnsiTheme="majorBidi" w:cstheme="majorBidi"/>
          <w:sz w:val="24"/>
          <w:szCs w:val="24"/>
        </w:rPr>
        <w:t xml:space="preserve">. </w:t>
      </w:r>
    </w:p>
    <w:p w:rsidR="00567E57" w:rsidRPr="00EA34AC" w:rsidRDefault="00BD3156" w:rsidP="00BD3156">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00EA34AC" w:rsidRPr="00EA34AC">
        <w:rPr>
          <w:rFonts w:asciiTheme="majorBidi" w:hAnsiTheme="majorBidi" w:cstheme="majorBidi"/>
          <w:sz w:val="24"/>
          <w:szCs w:val="24"/>
        </w:rPr>
        <w:t xml:space="preserve">La Théorie Interprétative de la Traduction (TIT), qui apparaît au milieu du XXe siècle, débute par l’observation empirique de l’interprétation de conférence. L’oral se prête mieux à l’étude du processus de la communication que l’écrit, car les paroles orales s’envolent, mais leur sens subsiste. Compréhension des signes linguistiques grâce aux connaissances extralinguistiques (via le principe piagétien d’assimilation/ accommodation), </w:t>
      </w:r>
      <w:proofErr w:type="spellStart"/>
      <w:r w:rsidR="00EA34AC" w:rsidRPr="00EA34AC">
        <w:rPr>
          <w:rFonts w:asciiTheme="majorBidi" w:hAnsiTheme="majorBidi" w:cstheme="majorBidi"/>
          <w:sz w:val="24"/>
          <w:szCs w:val="24"/>
        </w:rPr>
        <w:t>déverbalisation</w:t>
      </w:r>
      <w:proofErr w:type="spellEnd"/>
      <w:r w:rsidR="00EA34AC" w:rsidRPr="00EA34AC">
        <w:rPr>
          <w:rFonts w:asciiTheme="majorBidi" w:hAnsiTheme="majorBidi" w:cstheme="majorBidi"/>
          <w:sz w:val="24"/>
          <w:szCs w:val="24"/>
        </w:rPr>
        <w:t>, réexpression du sens compris, notionnel et émotionnel, indépendamment de la langue qui l’a véhiculé, voilà les trois étapes distinguées par la TIT pour l’interprétation. Très vite, elle élargit son champ d’investigation à la traduction écrite, d’abord pragmatique, puis littéraire. Le processus de la réexpression est alors approfondi, avec la distinction entre correspondances entre la signification des mots des deux langues et équivalences de sens entre textes ou fragments de textes.</w:t>
      </w:r>
      <w:r w:rsidR="00EA34AC">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Lederer</w:t>
      </w:r>
      <w:proofErr w:type="spellEnd"/>
      <w:r>
        <w:rPr>
          <w:rFonts w:asciiTheme="majorBidi" w:hAnsiTheme="majorBidi" w:cstheme="majorBidi"/>
          <w:sz w:val="24"/>
          <w:szCs w:val="24"/>
        </w:rPr>
        <w:t>, 2016</w:t>
      </w:r>
      <w:proofErr w:type="gramStart"/>
      <w:r>
        <w:rPr>
          <w:rFonts w:asciiTheme="majorBidi" w:hAnsiTheme="majorBidi" w:cstheme="majorBidi"/>
          <w:sz w:val="24"/>
          <w:szCs w:val="24"/>
        </w:rPr>
        <w:t>,p</w:t>
      </w:r>
      <w:proofErr w:type="gramEnd"/>
      <w:r>
        <w:rPr>
          <w:rFonts w:asciiTheme="majorBidi" w:hAnsiTheme="majorBidi" w:cstheme="majorBidi"/>
          <w:sz w:val="24"/>
          <w:szCs w:val="24"/>
        </w:rPr>
        <w:t xml:space="preserve"> 5)</w:t>
      </w:r>
      <w:r w:rsidR="00567E57" w:rsidRPr="00EA34AC">
        <w:rPr>
          <w:rFonts w:asciiTheme="majorBidi" w:hAnsiTheme="majorBidi" w:cstheme="majorBidi"/>
          <w:b/>
          <w:bCs/>
          <w:sz w:val="24"/>
          <w:szCs w:val="24"/>
        </w:rPr>
        <w:t xml:space="preserve">  </w:t>
      </w:r>
    </w:p>
    <w:p w:rsidR="00235683" w:rsidRPr="00235683" w:rsidRDefault="00235683" w:rsidP="00BD3156">
      <w:pPr>
        <w:spacing w:after="0" w:line="480" w:lineRule="auto"/>
        <w:jc w:val="both"/>
        <w:rPr>
          <w:rFonts w:asciiTheme="majorBidi" w:hAnsiTheme="majorBidi" w:cstheme="majorBidi"/>
          <w:b/>
          <w:bCs/>
          <w:sz w:val="24"/>
          <w:szCs w:val="24"/>
        </w:rPr>
      </w:pPr>
      <w:r w:rsidRPr="00235683">
        <w:rPr>
          <w:rFonts w:asciiTheme="majorBidi" w:hAnsiTheme="majorBidi" w:cstheme="majorBidi"/>
          <w:b/>
          <w:bCs/>
          <w:sz w:val="24"/>
          <w:szCs w:val="24"/>
        </w:rPr>
        <w:t>2. Les principe</w:t>
      </w:r>
      <w:r>
        <w:rPr>
          <w:rFonts w:asciiTheme="majorBidi" w:hAnsiTheme="majorBidi" w:cstheme="majorBidi"/>
          <w:b/>
          <w:bCs/>
          <w:sz w:val="24"/>
          <w:szCs w:val="24"/>
        </w:rPr>
        <w:t>s</w:t>
      </w:r>
      <w:r w:rsidRPr="00235683">
        <w:rPr>
          <w:rFonts w:asciiTheme="majorBidi" w:hAnsiTheme="majorBidi" w:cstheme="majorBidi"/>
          <w:b/>
          <w:bCs/>
          <w:sz w:val="24"/>
          <w:szCs w:val="24"/>
        </w:rPr>
        <w:t xml:space="preserve"> de la théorie du sens </w:t>
      </w:r>
    </w:p>
    <w:p w:rsidR="00235683" w:rsidRDefault="00235683" w:rsidP="0023568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Pr="00235683">
        <w:rPr>
          <w:rFonts w:asciiTheme="majorBidi" w:hAnsiTheme="majorBidi" w:cstheme="majorBidi"/>
          <w:sz w:val="24"/>
          <w:szCs w:val="24"/>
        </w:rPr>
        <w:t>La Théorie interprétative, ou Théorie du sens, que l’on appelle aussi parfois Théorie de l’École de Paris, repose sur un principe essentiel :</w:t>
      </w:r>
      <w:r w:rsidRPr="00235683">
        <w:rPr>
          <w:rFonts w:asciiTheme="majorBidi" w:hAnsiTheme="majorBidi" w:cstheme="majorBidi"/>
          <w:b/>
          <w:bCs/>
          <w:sz w:val="24"/>
          <w:szCs w:val="24"/>
        </w:rPr>
        <w:t xml:space="preserve"> la traduction n’est pas un travail sur la langue, sur les mots, c’est un travail sur le message, sur le sens</w:t>
      </w:r>
      <w:r w:rsidRPr="00235683">
        <w:rPr>
          <w:rFonts w:asciiTheme="majorBidi" w:hAnsiTheme="majorBidi" w:cstheme="majorBidi"/>
          <w:sz w:val="24"/>
          <w:szCs w:val="24"/>
        </w:rPr>
        <w:t xml:space="preserve">. Qu’il s’agisse de </w:t>
      </w:r>
      <w:r w:rsidRPr="00235683">
        <w:rPr>
          <w:rFonts w:asciiTheme="majorBidi" w:hAnsiTheme="majorBidi" w:cstheme="majorBidi"/>
          <w:sz w:val="24"/>
          <w:szCs w:val="24"/>
        </w:rPr>
        <w:lastRenderedPageBreak/>
        <w:t xml:space="preserve">traduction orale ou écrite, littéraire ou technique, l’opération </w:t>
      </w:r>
      <w:proofErr w:type="spellStart"/>
      <w:r w:rsidRPr="00235683">
        <w:rPr>
          <w:rFonts w:asciiTheme="majorBidi" w:hAnsiTheme="majorBidi" w:cstheme="majorBidi"/>
          <w:sz w:val="24"/>
          <w:szCs w:val="24"/>
        </w:rPr>
        <w:t>traduisante</w:t>
      </w:r>
      <w:proofErr w:type="spellEnd"/>
      <w:r w:rsidRPr="00235683">
        <w:rPr>
          <w:rFonts w:asciiTheme="majorBidi" w:hAnsiTheme="majorBidi" w:cstheme="majorBidi"/>
          <w:sz w:val="24"/>
          <w:szCs w:val="24"/>
        </w:rPr>
        <w:t xml:space="preserve"> comporte toujours deux volets : </w:t>
      </w:r>
      <w:r w:rsidRPr="00235683">
        <w:rPr>
          <w:rFonts w:asciiTheme="majorBidi" w:hAnsiTheme="majorBidi" w:cstheme="majorBidi"/>
          <w:b/>
          <w:bCs/>
          <w:sz w:val="24"/>
          <w:szCs w:val="24"/>
        </w:rPr>
        <w:t>COMPRENDRE et DIRE</w:t>
      </w:r>
      <w:r w:rsidRPr="00235683">
        <w:rPr>
          <w:rFonts w:asciiTheme="majorBidi" w:hAnsiTheme="majorBidi" w:cstheme="majorBidi"/>
          <w:sz w:val="24"/>
          <w:szCs w:val="24"/>
        </w:rPr>
        <w:t xml:space="preserve">. Il s’agit de </w:t>
      </w:r>
      <w:proofErr w:type="spellStart"/>
      <w:r w:rsidRPr="00235683">
        <w:rPr>
          <w:rFonts w:asciiTheme="majorBidi" w:hAnsiTheme="majorBidi" w:cstheme="majorBidi"/>
          <w:b/>
          <w:bCs/>
          <w:sz w:val="24"/>
          <w:szCs w:val="24"/>
        </w:rPr>
        <w:t>déverbaliser</w:t>
      </w:r>
      <w:proofErr w:type="spellEnd"/>
      <w:r w:rsidRPr="00235683">
        <w:rPr>
          <w:rFonts w:asciiTheme="majorBidi" w:hAnsiTheme="majorBidi" w:cstheme="majorBidi"/>
          <w:b/>
          <w:bCs/>
          <w:sz w:val="24"/>
          <w:szCs w:val="24"/>
        </w:rPr>
        <w:t>,</w:t>
      </w:r>
      <w:r w:rsidRPr="00235683">
        <w:rPr>
          <w:rFonts w:asciiTheme="majorBidi" w:hAnsiTheme="majorBidi" w:cstheme="majorBidi"/>
          <w:sz w:val="24"/>
          <w:szCs w:val="24"/>
        </w:rPr>
        <w:t xml:space="preserve"> après </w:t>
      </w:r>
      <w:r w:rsidRPr="00235683">
        <w:rPr>
          <w:rFonts w:asciiTheme="majorBidi" w:hAnsiTheme="majorBidi" w:cstheme="majorBidi"/>
          <w:b/>
          <w:bCs/>
          <w:sz w:val="24"/>
          <w:szCs w:val="24"/>
        </w:rPr>
        <w:t>avoir compris</w:t>
      </w:r>
      <w:r w:rsidRPr="00235683">
        <w:rPr>
          <w:rFonts w:asciiTheme="majorBidi" w:hAnsiTheme="majorBidi" w:cstheme="majorBidi"/>
          <w:sz w:val="24"/>
          <w:szCs w:val="24"/>
        </w:rPr>
        <w:t xml:space="preserve">, puis </w:t>
      </w:r>
      <w:r w:rsidRPr="00235683">
        <w:rPr>
          <w:rFonts w:asciiTheme="majorBidi" w:hAnsiTheme="majorBidi" w:cstheme="majorBidi"/>
          <w:b/>
          <w:bCs/>
          <w:sz w:val="24"/>
          <w:szCs w:val="24"/>
        </w:rPr>
        <w:t>de reformuler</w:t>
      </w:r>
      <w:r w:rsidRPr="00235683">
        <w:rPr>
          <w:rFonts w:asciiTheme="majorBidi" w:hAnsiTheme="majorBidi" w:cstheme="majorBidi"/>
          <w:sz w:val="24"/>
          <w:szCs w:val="24"/>
        </w:rPr>
        <w:t xml:space="preserve"> ou ré-exprimer, et le grand mérite de </w:t>
      </w:r>
      <w:proofErr w:type="spellStart"/>
      <w:r w:rsidRPr="00235683">
        <w:rPr>
          <w:rFonts w:asciiTheme="majorBidi" w:hAnsiTheme="majorBidi" w:cstheme="majorBidi"/>
          <w:sz w:val="24"/>
          <w:szCs w:val="24"/>
        </w:rPr>
        <w:t>Danica</w:t>
      </w:r>
      <w:proofErr w:type="spellEnd"/>
      <w:r w:rsidRPr="00235683">
        <w:rPr>
          <w:rFonts w:asciiTheme="majorBidi" w:hAnsiTheme="majorBidi" w:cstheme="majorBidi"/>
          <w:sz w:val="24"/>
          <w:szCs w:val="24"/>
        </w:rPr>
        <w:t xml:space="preserve"> </w:t>
      </w:r>
      <w:proofErr w:type="spellStart"/>
      <w:r w:rsidRPr="00235683">
        <w:rPr>
          <w:rFonts w:asciiTheme="majorBidi" w:hAnsiTheme="majorBidi" w:cstheme="majorBidi"/>
          <w:sz w:val="24"/>
          <w:szCs w:val="24"/>
        </w:rPr>
        <w:t>Seleskovitch</w:t>
      </w:r>
      <w:proofErr w:type="spellEnd"/>
      <w:r w:rsidRPr="00235683">
        <w:rPr>
          <w:rFonts w:asciiTheme="majorBidi" w:hAnsiTheme="majorBidi" w:cstheme="majorBidi"/>
          <w:sz w:val="24"/>
          <w:szCs w:val="24"/>
        </w:rPr>
        <w:t xml:space="preserve"> et de Marianne </w:t>
      </w:r>
      <w:proofErr w:type="spellStart"/>
      <w:r w:rsidRPr="00235683">
        <w:rPr>
          <w:rFonts w:asciiTheme="majorBidi" w:hAnsiTheme="majorBidi" w:cstheme="majorBidi"/>
          <w:sz w:val="24"/>
          <w:szCs w:val="24"/>
        </w:rPr>
        <w:t>Lederer</w:t>
      </w:r>
      <w:proofErr w:type="spellEnd"/>
      <w:r w:rsidRPr="00235683">
        <w:rPr>
          <w:rFonts w:asciiTheme="majorBidi" w:hAnsiTheme="majorBidi" w:cstheme="majorBidi"/>
          <w:sz w:val="24"/>
          <w:szCs w:val="24"/>
        </w:rPr>
        <w:t xml:space="preserve">, qui ont établi et défendu ardemment cette théorie, est d’avoir démontré à quel point ce processus est, non seulement important, mais également naturel. Ces deux phases nécessitent évidemment, pour le traducteur, la possession d’un certain savoir : la connaissance de la langue du texte, la compréhension du sujet, la maîtrise de la langue de rédaction, mais aussi une méthode, des réflexes bien éduqués, qui vont lui permettre d’adopter à l’égard du texte l’attitude qui aboutira au meilleur résultat par la recherche d’équivalences, sans se laisser enfermer dans les simples correspondances. </w:t>
      </w:r>
      <w:r w:rsidRPr="00406502">
        <w:rPr>
          <w:rFonts w:asciiTheme="majorBidi" w:hAnsiTheme="majorBidi" w:cstheme="majorBidi"/>
          <w:sz w:val="24"/>
          <w:szCs w:val="24"/>
        </w:rPr>
        <w:t xml:space="preserve">(Herbulot, 2004, p307) </w:t>
      </w:r>
    </w:p>
    <w:p w:rsidR="009C544F" w:rsidRPr="0080076C" w:rsidRDefault="009C544F" w:rsidP="00974784">
      <w:pPr>
        <w:spacing w:after="0" w:line="480" w:lineRule="auto"/>
        <w:rPr>
          <w:rFonts w:asciiTheme="majorBidi" w:hAnsiTheme="majorBidi" w:cstheme="majorBidi"/>
          <w:b/>
          <w:bCs/>
          <w:sz w:val="24"/>
          <w:szCs w:val="24"/>
        </w:rPr>
      </w:pPr>
      <w:r w:rsidRPr="0080076C">
        <w:rPr>
          <w:rFonts w:asciiTheme="majorBidi" w:hAnsiTheme="majorBidi" w:cstheme="majorBidi"/>
          <w:b/>
          <w:bCs/>
          <w:sz w:val="24"/>
          <w:szCs w:val="24"/>
        </w:rPr>
        <w:t xml:space="preserve">2.1 </w:t>
      </w:r>
      <w:r w:rsidR="00974784">
        <w:rPr>
          <w:rFonts w:asciiTheme="majorBidi" w:hAnsiTheme="majorBidi" w:cstheme="majorBidi"/>
          <w:b/>
          <w:bCs/>
          <w:sz w:val="24"/>
          <w:szCs w:val="24"/>
        </w:rPr>
        <w:t>La compréhension</w:t>
      </w:r>
    </w:p>
    <w:p w:rsidR="00D124CF" w:rsidRPr="0080076C" w:rsidRDefault="009C544F" w:rsidP="00D124CF">
      <w:pPr>
        <w:spacing w:after="0" w:line="480" w:lineRule="auto"/>
        <w:rPr>
          <w:rFonts w:asciiTheme="majorBidi" w:hAnsiTheme="majorBidi" w:cstheme="majorBidi"/>
          <w:sz w:val="24"/>
          <w:szCs w:val="24"/>
        </w:rPr>
      </w:pPr>
      <w:r w:rsidRPr="0080076C">
        <w:rPr>
          <w:rFonts w:asciiTheme="majorBidi" w:hAnsiTheme="majorBidi" w:cstheme="majorBidi"/>
          <w:sz w:val="24"/>
          <w:szCs w:val="24"/>
        </w:rPr>
        <w:t xml:space="preserve">    C’est le sens compris que l’interprète  doit transmettre, et non le sens que la langue lui avait apporté. D’où la constatation que, pour interpréter, il fallait joindre à une bonne connaissance des langues, certes nécessaire mais non suffisante, des connaissances extralinguistiques, et la certitude renouvelée d’un sens délié des significations linguistiques. (</w:t>
      </w:r>
      <w:proofErr w:type="spellStart"/>
      <w:r w:rsidRPr="0080076C">
        <w:rPr>
          <w:rFonts w:asciiTheme="majorBidi" w:hAnsiTheme="majorBidi" w:cstheme="majorBidi"/>
          <w:sz w:val="24"/>
          <w:szCs w:val="24"/>
        </w:rPr>
        <w:t>Lederer</w:t>
      </w:r>
      <w:proofErr w:type="spellEnd"/>
      <w:r w:rsidRPr="0080076C">
        <w:rPr>
          <w:rFonts w:asciiTheme="majorBidi" w:hAnsiTheme="majorBidi" w:cstheme="majorBidi"/>
          <w:sz w:val="24"/>
          <w:szCs w:val="24"/>
        </w:rPr>
        <w:t>, 2016</w:t>
      </w:r>
      <w:proofErr w:type="gramStart"/>
      <w:r w:rsidRPr="0080076C">
        <w:rPr>
          <w:rFonts w:asciiTheme="majorBidi" w:hAnsiTheme="majorBidi" w:cstheme="majorBidi"/>
          <w:sz w:val="24"/>
          <w:szCs w:val="24"/>
        </w:rPr>
        <w:t>,p</w:t>
      </w:r>
      <w:proofErr w:type="gramEnd"/>
      <w:r w:rsidRPr="0080076C">
        <w:rPr>
          <w:rFonts w:asciiTheme="majorBidi" w:hAnsiTheme="majorBidi" w:cstheme="majorBidi"/>
          <w:sz w:val="24"/>
          <w:szCs w:val="24"/>
        </w:rPr>
        <w:t xml:space="preserve"> 8)</w:t>
      </w:r>
      <w:r w:rsidRPr="0080076C">
        <w:rPr>
          <w:rFonts w:asciiTheme="majorBidi" w:hAnsiTheme="majorBidi" w:cstheme="majorBidi"/>
          <w:b/>
          <w:bCs/>
          <w:sz w:val="24"/>
          <w:szCs w:val="24"/>
        </w:rPr>
        <w:t xml:space="preserve">  </w:t>
      </w:r>
      <w:r w:rsidR="00D124CF" w:rsidRPr="0080076C">
        <w:rPr>
          <w:rFonts w:asciiTheme="majorBidi" w:hAnsiTheme="majorBidi" w:cstheme="majorBidi"/>
          <w:sz w:val="24"/>
          <w:szCs w:val="24"/>
        </w:rPr>
        <w:t xml:space="preserve">En outre, cette compréhension est aboutie à travers le contexte, </w:t>
      </w:r>
      <w:proofErr w:type="spellStart"/>
      <w:r w:rsidR="00D124CF" w:rsidRPr="0080076C">
        <w:rPr>
          <w:rFonts w:asciiTheme="majorBidi" w:hAnsiTheme="majorBidi" w:cstheme="majorBidi"/>
          <w:sz w:val="24"/>
          <w:szCs w:val="24"/>
        </w:rPr>
        <w:t>Lederer</w:t>
      </w:r>
      <w:proofErr w:type="spellEnd"/>
      <w:r w:rsidR="00D124CF" w:rsidRPr="0080076C">
        <w:rPr>
          <w:rFonts w:asciiTheme="majorBidi" w:hAnsiTheme="majorBidi" w:cstheme="majorBidi"/>
          <w:sz w:val="24"/>
          <w:szCs w:val="24"/>
        </w:rPr>
        <w:t xml:space="preserve"> a expliqué :</w:t>
      </w:r>
    </w:p>
    <w:p w:rsidR="009C544F" w:rsidRDefault="00D124CF" w:rsidP="00D124CF">
      <w:pPr>
        <w:spacing w:after="0" w:line="480" w:lineRule="auto"/>
        <w:rPr>
          <w:rFonts w:asciiTheme="majorBidi" w:hAnsiTheme="majorBidi" w:cstheme="majorBidi"/>
          <w:sz w:val="24"/>
          <w:szCs w:val="24"/>
        </w:rPr>
      </w:pPr>
      <w:r w:rsidRPr="0080076C">
        <w:rPr>
          <w:rFonts w:asciiTheme="majorBidi" w:hAnsiTheme="majorBidi" w:cstheme="majorBidi"/>
          <w:b/>
          <w:bCs/>
          <w:i/>
          <w:iCs/>
          <w:sz w:val="24"/>
          <w:szCs w:val="24"/>
        </w:rPr>
        <w:t>«  La compréhension de l’interprète ne se construit pas linéairement mot après mot, mais par ce que j’ai appelé «unités de sens », petits segments d’énoncés qui s’agglutinent les uns aux autres pour former un sens plus général »</w:t>
      </w:r>
      <w:r w:rsidRPr="0080076C">
        <w:rPr>
          <w:rFonts w:asciiTheme="majorBidi" w:hAnsiTheme="majorBidi" w:cstheme="majorBidi"/>
          <w:sz w:val="24"/>
          <w:szCs w:val="24"/>
        </w:rPr>
        <w:t xml:space="preserve"> (</w:t>
      </w:r>
      <w:proofErr w:type="spellStart"/>
      <w:r w:rsidRPr="0080076C">
        <w:rPr>
          <w:rFonts w:asciiTheme="majorBidi" w:hAnsiTheme="majorBidi" w:cstheme="majorBidi"/>
          <w:sz w:val="24"/>
          <w:szCs w:val="24"/>
        </w:rPr>
        <w:t>Lederer</w:t>
      </w:r>
      <w:proofErr w:type="spellEnd"/>
      <w:r w:rsidRPr="0080076C">
        <w:rPr>
          <w:rFonts w:asciiTheme="majorBidi" w:hAnsiTheme="majorBidi" w:cstheme="majorBidi"/>
          <w:sz w:val="24"/>
          <w:szCs w:val="24"/>
        </w:rPr>
        <w:t>, 2016</w:t>
      </w:r>
      <w:proofErr w:type="gramStart"/>
      <w:r w:rsidRPr="0080076C">
        <w:rPr>
          <w:rFonts w:asciiTheme="majorBidi" w:hAnsiTheme="majorBidi" w:cstheme="majorBidi"/>
          <w:sz w:val="24"/>
          <w:szCs w:val="24"/>
        </w:rPr>
        <w:t>,p</w:t>
      </w:r>
      <w:proofErr w:type="gramEnd"/>
      <w:r w:rsidRPr="0080076C">
        <w:rPr>
          <w:rFonts w:asciiTheme="majorBidi" w:hAnsiTheme="majorBidi" w:cstheme="majorBidi"/>
          <w:sz w:val="24"/>
          <w:szCs w:val="24"/>
        </w:rPr>
        <w:t xml:space="preserve"> 10)</w:t>
      </w:r>
    </w:p>
    <w:p w:rsidR="00423F49" w:rsidRDefault="00423F49" w:rsidP="00D124CF">
      <w:pPr>
        <w:spacing w:after="0" w:line="480" w:lineRule="auto"/>
        <w:rPr>
          <w:rFonts w:asciiTheme="majorBidi" w:hAnsiTheme="majorBidi" w:cstheme="majorBidi"/>
          <w:sz w:val="24"/>
          <w:szCs w:val="24"/>
        </w:rPr>
      </w:pPr>
    </w:p>
    <w:p w:rsidR="003A4130" w:rsidRPr="003A4130" w:rsidRDefault="00423F49" w:rsidP="003A4130">
      <w:pPr>
        <w:spacing w:after="0" w:line="480" w:lineRule="auto"/>
        <w:rPr>
          <w:rFonts w:asciiTheme="majorBidi" w:hAnsiTheme="majorBidi" w:cstheme="majorBidi"/>
          <w:b/>
          <w:bCs/>
          <w:sz w:val="24"/>
          <w:szCs w:val="24"/>
        </w:rPr>
      </w:pPr>
      <w:r w:rsidRPr="00423F49">
        <w:rPr>
          <w:rFonts w:asciiTheme="majorBidi" w:hAnsiTheme="majorBidi" w:cstheme="majorBidi"/>
          <w:b/>
          <w:bCs/>
          <w:sz w:val="24"/>
          <w:szCs w:val="24"/>
        </w:rPr>
        <w:t xml:space="preserve">2.2 La </w:t>
      </w:r>
      <w:proofErr w:type="spellStart"/>
      <w:r w:rsidRPr="00423F49">
        <w:rPr>
          <w:rFonts w:asciiTheme="majorBidi" w:hAnsiTheme="majorBidi" w:cstheme="majorBidi"/>
          <w:b/>
          <w:bCs/>
          <w:sz w:val="24"/>
          <w:szCs w:val="24"/>
        </w:rPr>
        <w:t>déverbalisation</w:t>
      </w:r>
      <w:proofErr w:type="spellEnd"/>
      <w:r w:rsidRPr="00423F49">
        <w:rPr>
          <w:rFonts w:asciiTheme="majorBidi" w:hAnsiTheme="majorBidi" w:cstheme="majorBidi"/>
          <w:b/>
          <w:bCs/>
          <w:sz w:val="24"/>
          <w:szCs w:val="24"/>
        </w:rPr>
        <w:t xml:space="preserve"> </w:t>
      </w:r>
    </w:p>
    <w:p w:rsidR="003A4130" w:rsidRPr="003A4130" w:rsidRDefault="003A4130" w:rsidP="003A4130">
      <w:pPr>
        <w:pStyle w:val="NormalWeb"/>
        <w:shd w:val="clear" w:color="auto" w:fill="FFFFFF"/>
        <w:spacing w:before="120" w:beforeAutospacing="0" w:after="120" w:afterAutospacing="0" w:line="480" w:lineRule="auto"/>
        <w:jc w:val="both"/>
        <w:rPr>
          <w:rFonts w:asciiTheme="majorBidi" w:hAnsiTheme="majorBidi" w:cstheme="majorBidi"/>
          <w:color w:val="202122"/>
        </w:rPr>
      </w:pPr>
      <w:r>
        <w:rPr>
          <w:rFonts w:ascii="Arial" w:hAnsi="Arial" w:cs="Arial"/>
          <w:color w:val="202122"/>
          <w:sz w:val="23"/>
          <w:szCs w:val="23"/>
        </w:rPr>
        <w:t xml:space="preserve">    </w:t>
      </w:r>
      <w:r w:rsidRPr="003A4130">
        <w:rPr>
          <w:rFonts w:asciiTheme="majorBidi" w:hAnsiTheme="majorBidi" w:cstheme="majorBidi"/>
          <w:color w:val="202122"/>
        </w:rPr>
        <w:t xml:space="preserve">La plupart des sons ou des signes graphiques disparaissent dès que la compréhension s'installe. Nous vivons tous la </w:t>
      </w:r>
      <w:proofErr w:type="spellStart"/>
      <w:r w:rsidRPr="003A4130">
        <w:rPr>
          <w:rFonts w:asciiTheme="majorBidi" w:hAnsiTheme="majorBidi" w:cstheme="majorBidi"/>
          <w:color w:val="202122"/>
        </w:rPr>
        <w:t>déverbalisation</w:t>
      </w:r>
      <w:proofErr w:type="spellEnd"/>
      <w:r w:rsidRPr="003A4130">
        <w:rPr>
          <w:rFonts w:asciiTheme="majorBidi" w:hAnsiTheme="majorBidi" w:cstheme="majorBidi"/>
          <w:color w:val="202122"/>
        </w:rPr>
        <w:t xml:space="preserve"> dans la communication quotidienne: nous gardons à l'esprit des faits, des notions, des événements véhiculés par des mots, mais nous ne retenons pas ces mots dans notre mémoire. La TIT a trouvé un soutien à ce postulat dans la </w:t>
      </w:r>
      <w:r w:rsidRPr="003A4130">
        <w:rPr>
          <w:rFonts w:asciiTheme="majorBidi" w:hAnsiTheme="majorBidi" w:cstheme="majorBidi"/>
          <w:color w:val="202122"/>
        </w:rPr>
        <w:lastRenderedPageBreak/>
        <w:t>neuropsychologie, qui suggère que le langage et la pensée sont situés dans différentes zones du cerveau. L'anticipation du sens, qui se produit souvent dans la communication orale et la traduction orale, est une preuve de plus que, dans le contexte et la situation, un soutien verbal complet n'est pas toujours nécessaire pour que la compréhension ait lieu.</w:t>
      </w:r>
      <w:r>
        <w:rPr>
          <w:rFonts w:asciiTheme="majorBidi" w:hAnsiTheme="majorBidi" w:cstheme="majorBidi"/>
          <w:color w:val="202122"/>
        </w:rPr>
        <w:t xml:space="preserve"> (</w:t>
      </w:r>
      <w:proofErr w:type="spellStart"/>
      <w:r w:rsidRPr="0080076C">
        <w:rPr>
          <w:rFonts w:asciiTheme="majorBidi" w:hAnsiTheme="majorBidi" w:cstheme="majorBidi"/>
        </w:rPr>
        <w:t>Lederer</w:t>
      </w:r>
      <w:proofErr w:type="spellEnd"/>
      <w:r w:rsidRPr="0080076C">
        <w:rPr>
          <w:rFonts w:asciiTheme="majorBidi" w:hAnsiTheme="majorBidi" w:cstheme="majorBidi"/>
        </w:rPr>
        <w:t>, 2016</w:t>
      </w:r>
      <w:proofErr w:type="gramStart"/>
      <w:r w:rsidRPr="0080076C">
        <w:rPr>
          <w:rFonts w:asciiTheme="majorBidi" w:hAnsiTheme="majorBidi" w:cstheme="majorBidi"/>
        </w:rPr>
        <w:t>,p</w:t>
      </w:r>
      <w:proofErr w:type="gramEnd"/>
      <w:r w:rsidRPr="0080076C">
        <w:rPr>
          <w:rFonts w:asciiTheme="majorBidi" w:hAnsiTheme="majorBidi" w:cstheme="majorBidi"/>
        </w:rPr>
        <w:t xml:space="preserve"> 10</w:t>
      </w:r>
      <w:r>
        <w:rPr>
          <w:rFonts w:asciiTheme="majorBidi" w:hAnsiTheme="majorBidi" w:cstheme="majorBidi"/>
        </w:rPr>
        <w:t xml:space="preserve"> et </w:t>
      </w:r>
      <w:hyperlink r:id="rId11" w:history="1">
        <w:r w:rsidRPr="006F5A0C">
          <w:rPr>
            <w:rStyle w:val="Lienhypertexte"/>
            <w:rFonts w:asciiTheme="majorBidi" w:hAnsiTheme="majorBidi" w:cstheme="majorBidi"/>
          </w:rPr>
          <w:t>https://fr.wikipedia.org/wiki/Th%C3%A9orie_interpr%C3%A9tative_de_la_traduction#cite_note-7</w:t>
        </w:r>
      </w:hyperlink>
      <w:r>
        <w:rPr>
          <w:rFonts w:asciiTheme="majorBidi" w:hAnsiTheme="majorBidi" w:cstheme="majorBidi"/>
        </w:rPr>
        <w:t xml:space="preserve"> consulté le 5.11.2023 à 20 :18)</w:t>
      </w:r>
    </w:p>
    <w:p w:rsidR="00974784" w:rsidRPr="003A4130" w:rsidRDefault="003A4130" w:rsidP="00A72958">
      <w:pPr>
        <w:pStyle w:val="NormalWeb"/>
        <w:shd w:val="clear" w:color="auto" w:fill="FFFFFF"/>
        <w:spacing w:before="120" w:beforeAutospacing="0" w:after="120" w:afterAutospacing="0" w:line="480" w:lineRule="auto"/>
        <w:jc w:val="both"/>
        <w:rPr>
          <w:rFonts w:asciiTheme="majorBidi" w:hAnsiTheme="majorBidi" w:cstheme="majorBidi"/>
          <w:color w:val="202122"/>
        </w:rPr>
      </w:pPr>
      <w:r>
        <w:rPr>
          <w:rFonts w:asciiTheme="majorBidi" w:hAnsiTheme="majorBidi" w:cstheme="majorBidi"/>
          <w:color w:val="202122"/>
        </w:rPr>
        <w:t xml:space="preserve">   </w:t>
      </w:r>
    </w:p>
    <w:p w:rsidR="003A4130" w:rsidRDefault="00A72958" w:rsidP="003A4130">
      <w:pPr>
        <w:pStyle w:val="NormalWeb"/>
        <w:shd w:val="clear" w:color="auto" w:fill="FFFFFF"/>
        <w:spacing w:before="120" w:beforeAutospacing="0" w:after="120" w:afterAutospacing="0" w:line="480" w:lineRule="auto"/>
        <w:jc w:val="both"/>
        <w:rPr>
          <w:rFonts w:asciiTheme="majorBidi" w:hAnsiTheme="majorBidi" w:cstheme="majorBidi"/>
          <w:b/>
          <w:bCs/>
          <w:color w:val="202122"/>
        </w:rPr>
      </w:pPr>
      <w:r>
        <w:rPr>
          <w:rFonts w:asciiTheme="majorBidi" w:hAnsiTheme="majorBidi" w:cstheme="majorBidi"/>
          <w:b/>
          <w:bCs/>
          <w:color w:val="202122"/>
        </w:rPr>
        <w:t>2</w:t>
      </w:r>
      <w:r w:rsidRPr="00A72958">
        <w:rPr>
          <w:rFonts w:asciiTheme="majorBidi" w:hAnsiTheme="majorBidi" w:cstheme="majorBidi"/>
          <w:b/>
          <w:bCs/>
          <w:color w:val="202122"/>
        </w:rPr>
        <w:t>.3 Reformulation</w:t>
      </w:r>
    </w:p>
    <w:p w:rsidR="00A72958" w:rsidRPr="00A72958" w:rsidRDefault="00A72958" w:rsidP="00393880">
      <w:pPr>
        <w:pStyle w:val="NormalWeb"/>
        <w:shd w:val="clear" w:color="auto" w:fill="FFFFFF"/>
        <w:spacing w:before="120" w:beforeAutospacing="0" w:after="120" w:afterAutospacing="0" w:line="480" w:lineRule="auto"/>
        <w:jc w:val="both"/>
        <w:rPr>
          <w:rFonts w:asciiTheme="majorBidi" w:hAnsiTheme="majorBidi" w:cstheme="majorBidi"/>
          <w:color w:val="202122"/>
        </w:rPr>
      </w:pPr>
      <w:r>
        <w:rPr>
          <w:rFonts w:asciiTheme="majorBidi" w:hAnsiTheme="majorBidi" w:cstheme="majorBidi"/>
          <w:color w:val="202122"/>
        </w:rPr>
        <w:t xml:space="preserve">   </w:t>
      </w:r>
      <w:r w:rsidRPr="00A72958">
        <w:rPr>
          <w:rFonts w:asciiTheme="majorBidi" w:hAnsiTheme="majorBidi" w:cstheme="majorBidi"/>
          <w:color w:val="202122"/>
        </w:rPr>
        <w:t xml:space="preserve">La réexpression dans langue cible du message compris </w:t>
      </w:r>
      <w:r w:rsidR="00393880">
        <w:rPr>
          <w:rFonts w:asciiTheme="majorBidi" w:hAnsiTheme="majorBidi" w:cstheme="majorBidi"/>
          <w:color w:val="202122"/>
        </w:rPr>
        <w:t xml:space="preserve">et </w:t>
      </w:r>
      <w:proofErr w:type="spellStart"/>
      <w:r w:rsidR="00393880">
        <w:rPr>
          <w:rFonts w:asciiTheme="majorBidi" w:hAnsiTheme="majorBidi" w:cstheme="majorBidi"/>
          <w:color w:val="202122"/>
        </w:rPr>
        <w:t>déverbalisé</w:t>
      </w:r>
      <w:proofErr w:type="spellEnd"/>
      <w:r w:rsidR="00393880">
        <w:rPr>
          <w:rFonts w:asciiTheme="majorBidi" w:hAnsiTheme="majorBidi" w:cstheme="majorBidi"/>
          <w:color w:val="202122"/>
        </w:rPr>
        <w:t xml:space="preserve"> </w:t>
      </w:r>
    </w:p>
    <w:p w:rsidR="00235683" w:rsidRPr="003A4130" w:rsidRDefault="00235683" w:rsidP="003A4130">
      <w:pPr>
        <w:spacing w:line="480" w:lineRule="auto"/>
        <w:jc w:val="both"/>
        <w:rPr>
          <w:rFonts w:asciiTheme="majorBidi" w:hAnsiTheme="majorBidi" w:cstheme="majorBidi"/>
          <w:sz w:val="24"/>
          <w:szCs w:val="24"/>
        </w:rPr>
      </w:pPr>
    </w:p>
    <w:sectPr w:rsidR="00235683" w:rsidRPr="003A4130"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A82"/>
    <w:multiLevelType w:val="hybridMultilevel"/>
    <w:tmpl w:val="3D149D2E"/>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5B4EF3"/>
    <w:multiLevelType w:val="hybridMultilevel"/>
    <w:tmpl w:val="A7BEB428"/>
    <w:lvl w:ilvl="0" w:tplc="E138DCA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249D"/>
    <w:rsid w:val="00024C95"/>
    <w:rsid w:val="001B0F23"/>
    <w:rsid w:val="001F4D60"/>
    <w:rsid w:val="00235683"/>
    <w:rsid w:val="00353A43"/>
    <w:rsid w:val="00385314"/>
    <w:rsid w:val="00393880"/>
    <w:rsid w:val="003A4130"/>
    <w:rsid w:val="00406502"/>
    <w:rsid w:val="00423F49"/>
    <w:rsid w:val="00567E57"/>
    <w:rsid w:val="0080076C"/>
    <w:rsid w:val="00815998"/>
    <w:rsid w:val="00911EFF"/>
    <w:rsid w:val="00974784"/>
    <w:rsid w:val="009C544F"/>
    <w:rsid w:val="00A72958"/>
    <w:rsid w:val="00B955E4"/>
    <w:rsid w:val="00BB249D"/>
    <w:rsid w:val="00BD3156"/>
    <w:rsid w:val="00D124CF"/>
    <w:rsid w:val="00D864C2"/>
    <w:rsid w:val="00EA34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249D"/>
    <w:pPr>
      <w:tabs>
        <w:tab w:val="center" w:pos="4153"/>
        <w:tab w:val="right" w:pos="8306"/>
      </w:tabs>
      <w:spacing w:after="0" w:line="240" w:lineRule="auto"/>
    </w:pPr>
  </w:style>
  <w:style w:type="character" w:customStyle="1" w:styleId="En-tteCar">
    <w:name w:val="En-tête Car"/>
    <w:basedOn w:val="Policepardfaut"/>
    <w:link w:val="En-tte"/>
    <w:uiPriority w:val="99"/>
    <w:rsid w:val="00BB249D"/>
  </w:style>
  <w:style w:type="table" w:styleId="Grilledutableau">
    <w:name w:val="Table Grid"/>
    <w:basedOn w:val="TableauNormal"/>
    <w:uiPriority w:val="59"/>
    <w:rsid w:val="00BB2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B24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49D"/>
    <w:rPr>
      <w:rFonts w:ascii="Tahoma" w:hAnsi="Tahoma" w:cs="Tahoma"/>
      <w:sz w:val="16"/>
      <w:szCs w:val="16"/>
    </w:rPr>
  </w:style>
  <w:style w:type="paragraph" w:styleId="Paragraphedeliste">
    <w:name w:val="List Paragraph"/>
    <w:basedOn w:val="Normal"/>
    <w:uiPriority w:val="34"/>
    <w:qFormat/>
    <w:rsid w:val="00BB249D"/>
    <w:pPr>
      <w:ind w:left="720"/>
      <w:contextualSpacing/>
    </w:pPr>
  </w:style>
  <w:style w:type="character" w:styleId="Lienhypertexte">
    <w:name w:val="Hyperlink"/>
    <w:basedOn w:val="Policepardfaut"/>
    <w:uiPriority w:val="99"/>
    <w:unhideWhenUsed/>
    <w:rsid w:val="00235683"/>
    <w:rPr>
      <w:color w:val="0000FF" w:themeColor="hyperlink"/>
      <w:u w:val="single"/>
    </w:rPr>
  </w:style>
  <w:style w:type="paragraph" w:styleId="NormalWeb">
    <w:name w:val="Normal (Web)"/>
    <w:basedOn w:val="Normal"/>
    <w:uiPriority w:val="99"/>
    <w:semiHidden/>
    <w:unhideWhenUsed/>
    <w:rsid w:val="003A413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85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pr%C3%A9tation_de_conf%C3%A9r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wikipedia.org/wiki/%C3%89cole_sup%C3%A9rieure_d%27interpr%C3%A8tes_et_de_traducteu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udit.org/fr/revues/meta/2004-v49-n2-meta770/009353ar.pdf" TargetMode="External"/><Relationship Id="rId11" Type="http://schemas.openxmlformats.org/officeDocument/2006/relationships/hyperlink" Target="https://fr.wikipedia.org/wiki/Th%C3%A9orie_interpr%C3%A9tative_de_la_traduction#cite_note-7" TargetMode="External"/><Relationship Id="rId5" Type="http://schemas.openxmlformats.org/officeDocument/2006/relationships/image" Target="media/image1.jpeg"/><Relationship Id="rId10" Type="http://schemas.openxmlformats.org/officeDocument/2006/relationships/hyperlink" Target="https://fr.wikipedia.org/wiki/Traduction" TargetMode="External"/><Relationship Id="rId4" Type="http://schemas.openxmlformats.org/officeDocument/2006/relationships/webSettings" Target="webSettings.xml"/><Relationship Id="rId9" Type="http://schemas.openxmlformats.org/officeDocument/2006/relationships/hyperlink" Target="https://fr.wikipedia.org/wiki/Danica_Seleskovi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994</Words>
  <Characters>5469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2023-11-05T16:50:00Z</dcterms:created>
  <dcterms:modified xsi:type="dcterms:W3CDTF">2023-11-05T18:57:00Z</dcterms:modified>
</cp:coreProperties>
</file>