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page" w:horzAnchor="margin" w:tblpY="2505"/>
        <w:tblW w:w="0" w:type="auto"/>
        <w:tblLook w:val="04A0" w:firstRow="1" w:lastRow="0" w:firstColumn="1" w:lastColumn="0" w:noHBand="0" w:noVBand="1"/>
      </w:tblPr>
      <w:tblGrid>
        <w:gridCol w:w="1838"/>
        <w:gridCol w:w="7224"/>
      </w:tblGrid>
      <w:tr w:rsidR="00ED2769" w:rsidRPr="00ED2769" w14:paraId="0D932DAC" w14:textId="77777777" w:rsidTr="00AF1D28">
        <w:tc>
          <w:tcPr>
            <w:tcW w:w="1838" w:type="dxa"/>
          </w:tcPr>
          <w:p w14:paraId="39F20488" w14:textId="4A742847" w:rsidR="00ED2769" w:rsidRPr="00ED2769" w:rsidRDefault="00ED2769" w:rsidP="0066613E">
            <w:pPr>
              <w:jc w:val="center"/>
              <w:rPr>
                <w:b/>
                <w:bCs/>
              </w:rPr>
            </w:pPr>
            <w:r w:rsidRPr="00ED2769">
              <w:rPr>
                <w:b/>
                <w:bCs/>
              </w:rPr>
              <w:t>Questions</w:t>
            </w:r>
          </w:p>
        </w:tc>
        <w:tc>
          <w:tcPr>
            <w:tcW w:w="7224" w:type="dxa"/>
          </w:tcPr>
          <w:p w14:paraId="7683E3BF" w14:textId="6E8DA15C" w:rsidR="00ED2769" w:rsidRPr="00ED2769" w:rsidRDefault="00ED2769" w:rsidP="0066613E">
            <w:pPr>
              <w:jc w:val="center"/>
              <w:rPr>
                <w:b/>
                <w:bCs/>
              </w:rPr>
            </w:pPr>
            <w:r w:rsidRPr="00ED2769">
              <w:rPr>
                <w:b/>
                <w:bCs/>
              </w:rPr>
              <w:t>Answers</w:t>
            </w:r>
          </w:p>
          <w:p w14:paraId="14A4B3D2" w14:textId="03D2EDE3" w:rsidR="00ED2769" w:rsidRPr="00ED2769" w:rsidRDefault="00ED2769" w:rsidP="0066613E">
            <w:pPr>
              <w:jc w:val="center"/>
              <w:rPr>
                <w:b/>
                <w:bCs/>
              </w:rPr>
            </w:pPr>
          </w:p>
        </w:tc>
      </w:tr>
      <w:tr w:rsidR="00ED2769" w:rsidRPr="00ED2769" w14:paraId="40FD0BA4" w14:textId="77777777" w:rsidTr="00AF1D28">
        <w:tc>
          <w:tcPr>
            <w:tcW w:w="1838" w:type="dxa"/>
          </w:tcPr>
          <w:p w14:paraId="1ABD73D5" w14:textId="0C3D84F0" w:rsidR="00ED2769" w:rsidRPr="008D00BA" w:rsidRDefault="00AF1D28" w:rsidP="0066613E">
            <w:pPr>
              <w:rPr>
                <w:color w:val="FF0000"/>
              </w:rPr>
            </w:pPr>
            <w:r>
              <w:t xml:space="preserve">1. </w:t>
            </w:r>
            <w:r w:rsidR="00ED2769">
              <w:t>What is the main objective of the buffer solution?</w:t>
            </w:r>
          </w:p>
          <w:p w14:paraId="624BE3AB" w14:textId="4D283541" w:rsidR="00ED2769" w:rsidRPr="00ED2769" w:rsidRDefault="00ED2769" w:rsidP="0066613E"/>
        </w:tc>
        <w:tc>
          <w:tcPr>
            <w:tcW w:w="7224" w:type="dxa"/>
          </w:tcPr>
          <w:p w14:paraId="1469FC34" w14:textId="114A8B81" w:rsidR="00ED2769" w:rsidRPr="008D00BA" w:rsidRDefault="007B50D1" w:rsidP="007B50D1">
            <w:pPr>
              <w:rPr>
                <w:color w:val="FF0000"/>
              </w:rPr>
            </w:pPr>
            <w:r w:rsidRPr="007B50D1">
              <w:t xml:space="preserve">The main objective of a buffer solution is to resist changes in pH when small amounts of acid or base are added to </w:t>
            </w:r>
            <w:proofErr w:type="gramStart"/>
            <w:r w:rsidRPr="007B50D1">
              <w:t>it</w:t>
            </w:r>
            <w:r w:rsidR="008D00BA">
              <w:rPr>
                <w:color w:val="FF0000"/>
              </w:rPr>
              <w:t>(</w:t>
            </w:r>
            <w:proofErr w:type="gramEnd"/>
            <w:r w:rsidR="008D00BA">
              <w:rPr>
                <w:color w:val="FF0000"/>
              </w:rPr>
              <w:t>2,5)</w:t>
            </w:r>
          </w:p>
        </w:tc>
      </w:tr>
      <w:tr w:rsidR="00ED2769" w:rsidRPr="00ED2769" w14:paraId="76C332E1" w14:textId="77777777" w:rsidTr="00AF1D28">
        <w:tc>
          <w:tcPr>
            <w:tcW w:w="1838" w:type="dxa"/>
          </w:tcPr>
          <w:p w14:paraId="46B4679F" w14:textId="641E3BA7" w:rsidR="00ED2769" w:rsidRPr="00ED2769" w:rsidRDefault="008D00BA" w:rsidP="008D00BA">
            <w:r>
              <w:t>2.</w:t>
            </w:r>
            <w:r w:rsidR="00ED2769" w:rsidRPr="00ED2769">
              <w:t xml:space="preserve">How </w:t>
            </w:r>
            <w:r w:rsidR="0066613E">
              <w:t>can you determine the oxidant and the reductor experimentally</w:t>
            </w:r>
            <w:r w:rsidR="00ED2769" w:rsidRPr="00ED2769">
              <w:t>?</w:t>
            </w:r>
          </w:p>
        </w:tc>
        <w:tc>
          <w:tcPr>
            <w:tcW w:w="7224" w:type="dxa"/>
          </w:tcPr>
          <w:p w14:paraId="11F81ED3" w14:textId="54534337" w:rsidR="00ED2769" w:rsidRPr="008D00BA" w:rsidRDefault="007B50D1" w:rsidP="007B50D1">
            <w:pPr>
              <w:rPr>
                <w:color w:val="FF0000"/>
              </w:rPr>
            </w:pPr>
            <w:r>
              <w:t>We put the metal in solution contains ions of another metal, t</w:t>
            </w:r>
            <w:r w:rsidRPr="007B50D1">
              <w:t>he solution that causes the indicator to change color towards its reduced form is the oxidant, while the solution that causes the indicator to change color towards its oxidized form is the reductor.</w:t>
            </w:r>
            <w:r w:rsidR="008D00BA">
              <w:t xml:space="preserve"> </w:t>
            </w:r>
            <w:proofErr w:type="gramStart"/>
            <w:r w:rsidR="008D00BA">
              <w:rPr>
                <w:color w:val="FF0000"/>
              </w:rPr>
              <w:t>(</w:t>
            </w:r>
            <w:proofErr w:type="gramEnd"/>
            <w:r w:rsidR="008D00BA">
              <w:rPr>
                <w:color w:val="FF0000"/>
              </w:rPr>
              <w:t>3)</w:t>
            </w:r>
          </w:p>
        </w:tc>
      </w:tr>
      <w:tr w:rsidR="00ED2769" w:rsidRPr="00ED2769" w14:paraId="142C2E0E" w14:textId="77777777" w:rsidTr="00AF1D28">
        <w:tc>
          <w:tcPr>
            <w:tcW w:w="1838" w:type="dxa"/>
          </w:tcPr>
          <w:p w14:paraId="3983E4B7" w14:textId="0B8A6797" w:rsidR="00ED2769" w:rsidRPr="00ED2769" w:rsidRDefault="008D00BA" w:rsidP="0066613E">
            <w:r>
              <w:t>3.</w:t>
            </w:r>
            <w:r w:rsidR="00ED2769" w:rsidRPr="00ED2769">
              <w:t>What is the significance of degassing the lemonade before titration?</w:t>
            </w:r>
          </w:p>
        </w:tc>
        <w:tc>
          <w:tcPr>
            <w:tcW w:w="7224" w:type="dxa"/>
          </w:tcPr>
          <w:p w14:paraId="13EA0771" w14:textId="404C033F" w:rsidR="00ED2769" w:rsidRPr="008D00BA" w:rsidRDefault="007B50D1" w:rsidP="0066613E">
            <w:pPr>
              <w:rPr>
                <w:color w:val="FF0000"/>
              </w:rPr>
            </w:pPr>
            <w:r>
              <w:t>The gas influence on the volume of solution</w:t>
            </w:r>
            <w:r w:rsidR="008D00BA">
              <w:t xml:space="preserve"> </w:t>
            </w:r>
            <w:r w:rsidR="008D00BA">
              <w:rPr>
                <w:color w:val="FF0000"/>
              </w:rPr>
              <w:t>(2,5)</w:t>
            </w:r>
          </w:p>
        </w:tc>
      </w:tr>
      <w:tr w:rsidR="00ED2769" w:rsidRPr="00ED2769" w14:paraId="2FF6C8A8" w14:textId="77777777" w:rsidTr="00AF1D28">
        <w:tc>
          <w:tcPr>
            <w:tcW w:w="1838" w:type="dxa"/>
          </w:tcPr>
          <w:p w14:paraId="7FE730C2" w14:textId="4AF1FF00" w:rsidR="00ED2769" w:rsidRDefault="008D00BA" w:rsidP="0066613E">
            <w:r>
              <w:t>4.</w:t>
            </w:r>
            <w:r w:rsidR="00ED2769">
              <w:t>What are the different steps to calibrate a pH meter?</w:t>
            </w:r>
          </w:p>
          <w:p w14:paraId="2252677F" w14:textId="77777777" w:rsidR="00ED2769" w:rsidRDefault="00ED2769" w:rsidP="0066613E"/>
          <w:p w14:paraId="7DEF84CE" w14:textId="268EE866" w:rsidR="00ED2769" w:rsidRPr="00ED2769" w:rsidRDefault="00ED2769" w:rsidP="0066613E"/>
        </w:tc>
        <w:tc>
          <w:tcPr>
            <w:tcW w:w="7224" w:type="dxa"/>
          </w:tcPr>
          <w:p w14:paraId="5816CAB8" w14:textId="77777777" w:rsidR="00AF1D28" w:rsidRPr="00AF1D28" w:rsidRDefault="00AF1D28" w:rsidP="00AF1D28">
            <w:pPr>
              <w:numPr>
                <w:ilvl w:val="0"/>
                <w:numId w:val="1"/>
              </w:numPr>
              <w:rPr>
                <w:lang w:val="en-GB"/>
              </w:rPr>
            </w:pPr>
            <w:r w:rsidRPr="00AF1D28">
              <w:rPr>
                <w:lang w:val="en-GB"/>
              </w:rPr>
              <w:t>Plug in the power supply and turn on.</w:t>
            </w:r>
          </w:p>
          <w:p w14:paraId="7D6BCDA1" w14:textId="77777777" w:rsidR="00AF1D28" w:rsidRPr="00AF1D28" w:rsidRDefault="00AF1D28" w:rsidP="00AF1D28">
            <w:pPr>
              <w:numPr>
                <w:ilvl w:val="0"/>
                <w:numId w:val="1"/>
              </w:numPr>
              <w:rPr>
                <w:lang w:val="en-GB"/>
              </w:rPr>
            </w:pPr>
            <w:r w:rsidRPr="00AF1D28">
              <w:rPr>
                <w:lang w:val="en-GB"/>
              </w:rPr>
              <w:t xml:space="preserve">Connect the conductivity electrode to the conductivity-meter. </w:t>
            </w:r>
          </w:p>
          <w:p w14:paraId="2BBCA30F" w14:textId="77777777" w:rsidR="00AF1D28" w:rsidRPr="00AF1D28" w:rsidRDefault="00AF1D28" w:rsidP="00AF1D28">
            <w:pPr>
              <w:numPr>
                <w:ilvl w:val="0"/>
                <w:numId w:val="1"/>
              </w:numPr>
              <w:rPr>
                <w:lang w:val="en-GB"/>
              </w:rPr>
            </w:pPr>
            <w:r w:rsidRPr="00AF1D28">
              <w:rPr>
                <w:lang w:val="en-GB"/>
              </w:rPr>
              <w:t xml:space="preserve">Immerse conductivity electrode into beaker of solution of calibration. </w:t>
            </w:r>
          </w:p>
          <w:p w14:paraId="7EC83CCE" w14:textId="77777777" w:rsidR="00AF1D28" w:rsidRPr="00AF1D28" w:rsidRDefault="00AF1D28" w:rsidP="00AF1D28">
            <w:pPr>
              <w:numPr>
                <w:ilvl w:val="0"/>
                <w:numId w:val="1"/>
              </w:numPr>
              <w:rPr>
                <w:lang w:val="en-GB"/>
              </w:rPr>
            </w:pPr>
            <w:r w:rsidRPr="00AF1D28">
              <w:rPr>
                <w:lang w:val="en-GB"/>
              </w:rPr>
              <w:t xml:space="preserve">Click on Sensors on the top of the screen and click Calibrate. </w:t>
            </w:r>
          </w:p>
          <w:p w14:paraId="15C98DBA" w14:textId="5908DA8E" w:rsidR="00AF1D28" w:rsidRPr="00AF1D28" w:rsidRDefault="00AF1D28" w:rsidP="00AF1D28">
            <w:pPr>
              <w:numPr>
                <w:ilvl w:val="0"/>
                <w:numId w:val="1"/>
              </w:numPr>
              <w:rPr>
                <w:lang w:val="en-GB"/>
              </w:rPr>
            </w:pPr>
            <w:r>
              <w:rPr>
                <w:lang w:val="en-GB"/>
              </w:rPr>
              <w:t>After measurement (you read ready on the screen) click enter.</w:t>
            </w:r>
            <w:r w:rsidR="008D00BA">
              <w:rPr>
                <w:lang w:val="en-GB"/>
              </w:rPr>
              <w:t xml:space="preserve"> </w:t>
            </w:r>
            <w:proofErr w:type="gramStart"/>
            <w:r w:rsidR="008D00BA">
              <w:rPr>
                <w:color w:val="FF0000"/>
                <w:lang w:val="en-GB"/>
              </w:rPr>
              <w:t>(</w:t>
            </w:r>
            <w:proofErr w:type="gramEnd"/>
            <w:r w:rsidR="008D00BA">
              <w:rPr>
                <w:color w:val="FF0000"/>
                <w:lang w:val="en-GB"/>
              </w:rPr>
              <w:t>3,5)</w:t>
            </w:r>
          </w:p>
          <w:p w14:paraId="68C6DC1A" w14:textId="77777777" w:rsidR="00ED2769" w:rsidRPr="00AF1D28" w:rsidRDefault="00ED2769" w:rsidP="0066613E">
            <w:pPr>
              <w:rPr>
                <w:lang w:val="en-GB"/>
              </w:rPr>
            </w:pPr>
          </w:p>
        </w:tc>
      </w:tr>
      <w:tr w:rsidR="00ED2769" w:rsidRPr="00ED2769" w14:paraId="24C0660D" w14:textId="77777777" w:rsidTr="00AF1D28">
        <w:tc>
          <w:tcPr>
            <w:tcW w:w="1838" w:type="dxa"/>
          </w:tcPr>
          <w:p w14:paraId="42ADF041" w14:textId="01F675E9" w:rsidR="00ED2769" w:rsidRDefault="008D00BA" w:rsidP="0066613E">
            <w:r>
              <w:t>5.</w:t>
            </w:r>
            <w:r w:rsidR="0066613E" w:rsidRPr="0066613E">
              <w:t>Discuss the choice of indicators for titration</w:t>
            </w:r>
          </w:p>
          <w:p w14:paraId="0488E847" w14:textId="16419CC0" w:rsidR="0066613E" w:rsidRPr="0066613E" w:rsidRDefault="0066613E" w:rsidP="0066613E"/>
        </w:tc>
        <w:tc>
          <w:tcPr>
            <w:tcW w:w="7224" w:type="dxa"/>
          </w:tcPr>
          <w:p w14:paraId="1343A292" w14:textId="662752E3" w:rsidR="00ED2769" w:rsidRPr="008D00BA" w:rsidRDefault="00AF1D28" w:rsidP="00AF1D28">
            <w:pPr>
              <w:rPr>
                <w:color w:val="FF0000"/>
              </w:rPr>
            </w:pPr>
            <w:r w:rsidRPr="00AF1D28">
              <w:t xml:space="preserve">the choice of indicator for titration involves </w:t>
            </w:r>
            <w:r>
              <w:t>many</w:t>
            </w:r>
            <w:r w:rsidRPr="00AF1D28">
              <w:t xml:space="preserve"> factors such as pH range, color change, and compatibility to achieve reliable and precise endpoint determination.</w:t>
            </w:r>
            <w:r w:rsidR="008D00BA">
              <w:t xml:space="preserve"> </w:t>
            </w:r>
            <w:r w:rsidR="008D00BA">
              <w:rPr>
                <w:color w:val="FF0000"/>
              </w:rPr>
              <w:t>(2,5)</w:t>
            </w:r>
          </w:p>
        </w:tc>
      </w:tr>
      <w:tr w:rsidR="0066613E" w:rsidRPr="00ED2769" w14:paraId="163377AD" w14:textId="77777777" w:rsidTr="00AF1D28">
        <w:tc>
          <w:tcPr>
            <w:tcW w:w="1838" w:type="dxa"/>
          </w:tcPr>
          <w:p w14:paraId="5E3225E5" w14:textId="57FF4B10" w:rsidR="0066613E" w:rsidRPr="0066613E" w:rsidRDefault="008D00BA" w:rsidP="0066613E">
            <w:r>
              <w:t>6.</w:t>
            </w:r>
            <w:r w:rsidR="0066613E" w:rsidRPr="0066613E">
              <w:t>How do the results of hardness testing before and after boiling the water</w:t>
            </w:r>
            <w:r w:rsidR="0066613E">
              <w:t>?</w:t>
            </w:r>
          </w:p>
        </w:tc>
        <w:tc>
          <w:tcPr>
            <w:tcW w:w="7224" w:type="dxa"/>
          </w:tcPr>
          <w:p w14:paraId="44E4BD00" w14:textId="79773E64" w:rsidR="0066613E" w:rsidRPr="008D00BA" w:rsidRDefault="00AF1D28" w:rsidP="00AF1D28">
            <w:pPr>
              <w:rPr>
                <w:color w:val="FF0000"/>
              </w:rPr>
            </w:pPr>
            <w:r w:rsidRPr="00AF1D28">
              <w:t>After boiling, the temporary hardness due to bicarbonates can decrease significantly, leading to a reduction in overall hardness</w:t>
            </w:r>
            <w:r>
              <w:t xml:space="preserve"> by evaporation</w:t>
            </w:r>
            <w:r w:rsidRPr="00AF1D28">
              <w:t>. However, permanent hardness remains unchanged and will still contribute to the overall hardness of the water</w:t>
            </w:r>
            <w:r w:rsidR="008D00BA">
              <w:t xml:space="preserve"> </w:t>
            </w:r>
            <w:r w:rsidR="008D00BA">
              <w:rPr>
                <w:color w:val="FF0000"/>
              </w:rPr>
              <w:t>(3)</w:t>
            </w:r>
          </w:p>
        </w:tc>
      </w:tr>
      <w:tr w:rsidR="0066613E" w:rsidRPr="00ED2769" w14:paraId="3C4EA508" w14:textId="77777777" w:rsidTr="00AF1D28">
        <w:tc>
          <w:tcPr>
            <w:tcW w:w="1838" w:type="dxa"/>
          </w:tcPr>
          <w:p w14:paraId="2D991E75" w14:textId="3B338ED2" w:rsidR="005D5859" w:rsidRPr="005D5859" w:rsidRDefault="008D00BA" w:rsidP="005D5859">
            <w:pPr>
              <w:rPr>
                <w:lang w:val="en-GB"/>
              </w:rPr>
            </w:pPr>
            <w:r>
              <w:rPr>
                <w:lang w:val="en-GB"/>
              </w:rPr>
              <w:t>7.</w:t>
            </w:r>
            <w:r w:rsidR="005D5859" w:rsidRPr="005D5859">
              <w:rPr>
                <w:lang w:val="en-GB"/>
              </w:rPr>
              <w:t>How can alkalinity titration help us identify the quality of water?</w:t>
            </w:r>
          </w:p>
          <w:p w14:paraId="0BB455E6" w14:textId="2806F2B0" w:rsidR="0066613E" w:rsidRPr="005D5859" w:rsidRDefault="0066613E" w:rsidP="0066613E">
            <w:pPr>
              <w:rPr>
                <w:lang w:val="en-GB"/>
              </w:rPr>
            </w:pPr>
          </w:p>
        </w:tc>
        <w:tc>
          <w:tcPr>
            <w:tcW w:w="7224" w:type="dxa"/>
          </w:tcPr>
          <w:p w14:paraId="20501BFE" w14:textId="17EA202B" w:rsidR="0066613E" w:rsidRPr="008D00BA" w:rsidRDefault="008D00BA" w:rsidP="008D00BA">
            <w:pPr>
              <w:rPr>
                <w:color w:val="FF0000"/>
              </w:rPr>
            </w:pPr>
            <w:r w:rsidRPr="008D00BA">
              <w:t>Alkalinity titration is a valuable method for assessing the quality of water, especially in terms of its buffering capacity and potential to neutralize acids</w:t>
            </w:r>
            <w:r>
              <w:t xml:space="preserve"> </w:t>
            </w:r>
            <w:r>
              <w:rPr>
                <w:color w:val="FF0000"/>
              </w:rPr>
              <w:t>(3)</w:t>
            </w:r>
          </w:p>
        </w:tc>
      </w:tr>
    </w:tbl>
    <w:p w14:paraId="2C16F53E" w14:textId="2583D9F7" w:rsidR="00A90A0F" w:rsidRDefault="0066613E">
      <w:r>
        <w:t>The full name:</w:t>
      </w:r>
      <w:r w:rsidR="005D5859">
        <w:t xml:space="preserve"> </w:t>
      </w:r>
      <w:r>
        <w:t>…………………………………</w:t>
      </w:r>
      <w:proofErr w:type="gramStart"/>
      <w:r>
        <w:t>…..</w:t>
      </w:r>
      <w:proofErr w:type="gramEnd"/>
    </w:p>
    <w:sectPr w:rsidR="00A90A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05817" w14:textId="77777777" w:rsidR="00D303DB" w:rsidRDefault="00D303DB" w:rsidP="0066613E">
      <w:pPr>
        <w:spacing w:after="0" w:line="240" w:lineRule="auto"/>
      </w:pPr>
      <w:r>
        <w:separator/>
      </w:r>
    </w:p>
  </w:endnote>
  <w:endnote w:type="continuationSeparator" w:id="0">
    <w:p w14:paraId="3803C05C" w14:textId="77777777" w:rsidR="00D303DB" w:rsidRDefault="00D303DB" w:rsidP="0066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F8D4E" w14:textId="77777777" w:rsidR="00D303DB" w:rsidRDefault="00D303DB" w:rsidP="0066613E">
      <w:pPr>
        <w:spacing w:after="0" w:line="240" w:lineRule="auto"/>
      </w:pPr>
      <w:r>
        <w:separator/>
      </w:r>
    </w:p>
  </w:footnote>
  <w:footnote w:type="continuationSeparator" w:id="0">
    <w:p w14:paraId="3DA7CB6F" w14:textId="77777777" w:rsidR="00D303DB" w:rsidRDefault="00D303DB" w:rsidP="00666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color w:val="44546A" w:themeColor="text2"/>
        <w:sz w:val="16"/>
        <w:szCs w:val="16"/>
        <w:lang w:val="en-GB"/>
      </w:rPr>
      <w:alias w:val="Auteur"/>
      <w:tag w:val=""/>
      <w:id w:val="-1701008461"/>
      <w:placeholder>
        <w:docPart w:val="1C34409E17E84226A525C7A2D714331D"/>
      </w:placeholder>
      <w:dataBinding w:prefixMappings="xmlns:ns0='http://purl.org/dc/elements/1.1/' xmlns:ns1='http://schemas.openxmlformats.org/package/2006/metadata/core-properties' " w:xpath="/ns1:coreProperties[1]/ns0:creator[1]" w:storeItemID="{6C3C8BC8-F283-45AE-878A-BAB7291924A1}"/>
      <w:text/>
    </w:sdtPr>
    <w:sdtContent>
      <w:p w14:paraId="6179B518" w14:textId="61358301" w:rsidR="0066613E" w:rsidRPr="0066613E" w:rsidRDefault="0066613E">
        <w:pPr>
          <w:pStyle w:val="En-tte"/>
          <w:jc w:val="right"/>
          <w:rPr>
            <w:caps/>
            <w:color w:val="44546A" w:themeColor="text2"/>
            <w:sz w:val="16"/>
            <w:szCs w:val="16"/>
            <w:lang w:val="en-GB"/>
          </w:rPr>
        </w:pPr>
        <w:r w:rsidRPr="0066613E">
          <w:rPr>
            <w:caps/>
            <w:color w:val="44546A" w:themeColor="text2"/>
            <w:sz w:val="16"/>
            <w:szCs w:val="16"/>
            <w:lang w:val="en-GB"/>
          </w:rPr>
          <w:t>A.E. Boussouf U. C/ INSTITUE OF ST</w:t>
        </w:r>
      </w:p>
    </w:sdtContent>
  </w:sdt>
  <w:sdt>
    <w:sdtPr>
      <w:rPr>
        <w:caps/>
        <w:color w:val="44546A" w:themeColor="text2"/>
        <w:sz w:val="16"/>
        <w:szCs w:val="16"/>
        <w:lang w:val="en-GB"/>
      </w:rPr>
      <w:alias w:val="Date "/>
      <w:tag w:val="Date "/>
      <w:id w:val="-304078227"/>
      <w:placeholder>
        <w:docPart w:val="C693E9B1921F4C16996798B51A2F532B"/>
      </w:placeholder>
      <w:dataBinding w:prefixMappings="xmlns:ns0='http://schemas.microsoft.com/office/2006/coverPageProps' " w:xpath="/ns0:CoverPageProperties[1]/ns0:PublishDate[1]" w:storeItemID="{55AF091B-3C7A-41E3-B477-F2FDAA23CFDA}"/>
      <w:date>
        <w:dateFormat w:val="dd/MM/yy"/>
        <w:lid w:val="fr-FR"/>
        <w:storeMappedDataAs w:val="dateTime"/>
        <w:calendar w:val="gregorian"/>
      </w:date>
    </w:sdtPr>
    <w:sdtContent>
      <w:p w14:paraId="15254E9C" w14:textId="338862BE" w:rsidR="0066613E" w:rsidRPr="0066613E" w:rsidRDefault="0066613E">
        <w:pPr>
          <w:pStyle w:val="En-tte"/>
          <w:jc w:val="right"/>
          <w:rPr>
            <w:caps/>
            <w:color w:val="44546A" w:themeColor="text2"/>
            <w:sz w:val="20"/>
            <w:szCs w:val="20"/>
            <w:lang w:val="en-GB"/>
          </w:rPr>
        </w:pPr>
        <w:r w:rsidRPr="0066613E">
          <w:rPr>
            <w:caps/>
            <w:color w:val="44546A" w:themeColor="text2"/>
            <w:sz w:val="16"/>
            <w:szCs w:val="16"/>
            <w:lang w:val="en-GB"/>
          </w:rPr>
          <w:t>process ingeneering departement</w:t>
        </w:r>
      </w:p>
    </w:sdtContent>
  </w:sdt>
  <w:p w14:paraId="534577EF" w14:textId="559FECD2" w:rsidR="0066613E" w:rsidRPr="0066613E" w:rsidRDefault="00000000">
    <w:pPr>
      <w:pStyle w:val="En-tte"/>
      <w:jc w:val="center"/>
      <w:rPr>
        <w:b/>
        <w:bCs/>
        <w:color w:val="44546A" w:themeColor="text2"/>
        <w:sz w:val="32"/>
        <w:szCs w:val="32"/>
        <w:lang w:val="en-GB"/>
      </w:rPr>
    </w:pPr>
    <w:sdt>
      <w:sdtPr>
        <w:rPr>
          <w:b/>
          <w:bCs/>
          <w:caps/>
          <w:color w:val="44546A" w:themeColor="text2"/>
          <w:sz w:val="32"/>
          <w:szCs w:val="32"/>
        </w:rPr>
        <w:alias w:val="Titre"/>
        <w:tag w:val=""/>
        <w:id w:val="-484788024"/>
        <w:placeholder>
          <w:docPart w:val="4DC9E1FC0C654AA9AAA0490CC9884EDC"/>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66613E" w:rsidRPr="0066613E">
          <w:rPr>
            <w:b/>
            <w:bCs/>
            <w:caps/>
            <w:color w:val="44546A" w:themeColor="text2"/>
            <w:sz w:val="32"/>
            <w:szCs w:val="32"/>
          </w:rPr>
          <w:t>chemistry of solutions exam</w:t>
        </w:r>
      </w:sdtContent>
    </w:sdt>
  </w:p>
  <w:p w14:paraId="42113E60" w14:textId="77777777" w:rsidR="0066613E" w:rsidRPr="0066613E" w:rsidRDefault="0066613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182"/>
    <w:multiLevelType w:val="hybridMultilevel"/>
    <w:tmpl w:val="75E8EA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E5260A1"/>
    <w:multiLevelType w:val="hybridMultilevel"/>
    <w:tmpl w:val="1A1AD5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85691088">
    <w:abstractNumId w:val="1"/>
  </w:num>
  <w:num w:numId="2" w16cid:durableId="83148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69"/>
    <w:rsid w:val="005D5859"/>
    <w:rsid w:val="0066613E"/>
    <w:rsid w:val="007B50D1"/>
    <w:rsid w:val="008D00BA"/>
    <w:rsid w:val="00A90A0F"/>
    <w:rsid w:val="00AF1D28"/>
    <w:rsid w:val="00D303DB"/>
    <w:rsid w:val="00D93B3C"/>
    <w:rsid w:val="00ED2769"/>
    <w:rsid w:val="00FA0D53"/>
    <w:rsid w:val="00FD3B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92DC"/>
  <w15:chartTrackingRefBased/>
  <w15:docId w15:val="{DE531A12-EFBD-4003-84C3-265ED265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6613E"/>
    <w:pPr>
      <w:tabs>
        <w:tab w:val="center" w:pos="4536"/>
        <w:tab w:val="right" w:pos="9072"/>
      </w:tabs>
      <w:spacing w:after="0" w:line="240" w:lineRule="auto"/>
    </w:pPr>
  </w:style>
  <w:style w:type="character" w:customStyle="1" w:styleId="En-tteCar">
    <w:name w:val="En-tête Car"/>
    <w:basedOn w:val="Policepardfaut"/>
    <w:link w:val="En-tte"/>
    <w:uiPriority w:val="99"/>
    <w:rsid w:val="0066613E"/>
    <w:rPr>
      <w:lang w:val="en-US"/>
    </w:rPr>
  </w:style>
  <w:style w:type="paragraph" w:styleId="Pieddepage">
    <w:name w:val="footer"/>
    <w:basedOn w:val="Normal"/>
    <w:link w:val="PieddepageCar"/>
    <w:uiPriority w:val="99"/>
    <w:unhideWhenUsed/>
    <w:rsid w:val="006661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613E"/>
    <w:rPr>
      <w:lang w:val="en-US"/>
    </w:rPr>
  </w:style>
  <w:style w:type="character" w:customStyle="1" w:styleId="Textedelespacerserv">
    <w:name w:val="Texte de l’espace réservé"/>
    <w:basedOn w:val="Policepardfaut"/>
    <w:uiPriority w:val="99"/>
    <w:semiHidden/>
    <w:rsid w:val="0066613E"/>
    <w:rPr>
      <w:color w:val="808080"/>
    </w:rPr>
  </w:style>
  <w:style w:type="paragraph" w:styleId="Paragraphedeliste">
    <w:name w:val="List Paragraph"/>
    <w:basedOn w:val="Normal"/>
    <w:uiPriority w:val="34"/>
    <w:qFormat/>
    <w:rsid w:val="00AF1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6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34409E17E84226A525C7A2D714331D"/>
        <w:category>
          <w:name w:val="Général"/>
          <w:gallery w:val="placeholder"/>
        </w:category>
        <w:types>
          <w:type w:val="bbPlcHdr"/>
        </w:types>
        <w:behaviors>
          <w:behavior w:val="content"/>
        </w:behaviors>
        <w:guid w:val="{9697720E-8AF7-43C3-953A-CD8B7A5354CF}"/>
      </w:docPartPr>
      <w:docPartBody>
        <w:p w:rsidR="002830EE" w:rsidRDefault="00262A2E" w:rsidP="00262A2E">
          <w:pPr>
            <w:pStyle w:val="1C34409E17E84226A525C7A2D714331D"/>
          </w:pPr>
          <w:r>
            <w:rPr>
              <w:rStyle w:val="Textedelespacerserv"/>
            </w:rPr>
            <w:t>[Nom de l’auteur]</w:t>
          </w:r>
        </w:p>
      </w:docPartBody>
    </w:docPart>
    <w:docPart>
      <w:docPartPr>
        <w:name w:val="C693E9B1921F4C16996798B51A2F532B"/>
        <w:category>
          <w:name w:val="Général"/>
          <w:gallery w:val="placeholder"/>
        </w:category>
        <w:types>
          <w:type w:val="bbPlcHdr"/>
        </w:types>
        <w:behaviors>
          <w:behavior w:val="content"/>
        </w:behaviors>
        <w:guid w:val="{5DBAA2CC-AE38-4EBD-A94A-DCBFCE17F253}"/>
      </w:docPartPr>
      <w:docPartBody>
        <w:p w:rsidR="002830EE" w:rsidRDefault="00262A2E" w:rsidP="00262A2E">
          <w:pPr>
            <w:pStyle w:val="C693E9B1921F4C16996798B51A2F532B"/>
          </w:pPr>
          <w:r>
            <w:rPr>
              <w:rStyle w:val="Textedelespacerserv"/>
            </w:rPr>
            <w:t>[Date]</w:t>
          </w:r>
        </w:p>
      </w:docPartBody>
    </w:docPart>
    <w:docPart>
      <w:docPartPr>
        <w:name w:val="4DC9E1FC0C654AA9AAA0490CC9884EDC"/>
        <w:category>
          <w:name w:val="Général"/>
          <w:gallery w:val="placeholder"/>
        </w:category>
        <w:types>
          <w:type w:val="bbPlcHdr"/>
        </w:types>
        <w:behaviors>
          <w:behavior w:val="content"/>
        </w:behaviors>
        <w:guid w:val="{583C6363-D9E8-4EA2-AEAE-6EC03BF02C7E}"/>
      </w:docPartPr>
      <w:docPartBody>
        <w:p w:rsidR="002830EE" w:rsidRDefault="00262A2E" w:rsidP="00262A2E">
          <w:pPr>
            <w:pStyle w:val="4DC9E1FC0C654AA9AAA0490CC9884EDC"/>
          </w:pPr>
          <w:r>
            <w:rPr>
              <w:color w:val="44546A" w:themeColor="text2"/>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2E"/>
    <w:rsid w:val="00262A2E"/>
    <w:rsid w:val="002830EE"/>
    <w:rsid w:val="002D41BE"/>
    <w:rsid w:val="00C61B7F"/>
    <w:rsid w:val="00D93B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262A2E"/>
    <w:rPr>
      <w:color w:val="808080"/>
    </w:rPr>
  </w:style>
  <w:style w:type="paragraph" w:customStyle="1" w:styleId="1C34409E17E84226A525C7A2D714331D">
    <w:name w:val="1C34409E17E84226A525C7A2D714331D"/>
    <w:rsid w:val="00262A2E"/>
  </w:style>
  <w:style w:type="paragraph" w:customStyle="1" w:styleId="C693E9B1921F4C16996798B51A2F532B">
    <w:name w:val="C693E9B1921F4C16996798B51A2F532B"/>
    <w:rsid w:val="00262A2E"/>
  </w:style>
  <w:style w:type="paragraph" w:customStyle="1" w:styleId="4DC9E1FC0C654AA9AAA0490CC9884EDC">
    <w:name w:val="4DC9E1FC0C654AA9AAA0490CC9884EDC"/>
    <w:rsid w:val="0026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process ingeneering departement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chemistry of solutions exam</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of solutions exam</dc:title>
  <dc:subject/>
  <dc:creator>A.E. Boussouf U. C/ INSTITUE OF ST</dc:creator>
  <cp:keywords/>
  <dc:description/>
  <cp:lastModifiedBy>ADMIN</cp:lastModifiedBy>
  <cp:revision>2</cp:revision>
  <dcterms:created xsi:type="dcterms:W3CDTF">2024-05-13T05:15:00Z</dcterms:created>
  <dcterms:modified xsi:type="dcterms:W3CDTF">2024-05-13T05:15:00Z</dcterms:modified>
</cp:coreProperties>
</file>