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54"/>
      </w:pPr>
      <w:r>
        <w:t>Ann.Univ.Mila(Algérie), 202</w:t>
      </w:r>
      <w:r>
        <w:rPr>
          <w:rFonts w:hint="default"/>
          <w:lang w:val="fr-FR"/>
        </w:rPr>
        <w:t>0</w:t>
      </w:r>
      <w:r>
        <w:t>, Série Science</w:t>
      </w:r>
      <w:r>
        <mc:AlternateContent>
          <mc:Choice Requires="wps">
            <w:drawing>
              <wp:anchor distT="0" distB="0" distL="114300" distR="114300" simplePos="0" relativeHeight="251660288" behindDoc="0" locked="0" layoutInCell="1" allowOverlap="1">
                <wp:simplePos x="0" y="0"/>
                <wp:positionH relativeFrom="margin">
                  <wp:posOffset>231140</wp:posOffset>
                </wp:positionH>
                <wp:positionV relativeFrom="paragraph">
                  <wp:posOffset>251460</wp:posOffset>
                </wp:positionV>
                <wp:extent cx="5958840" cy="0"/>
                <wp:effectExtent l="0" t="4445" r="0" b="5080"/>
                <wp:wrapNone/>
                <wp:docPr id="2" name="Connecteur droit 2"/>
                <wp:cNvGraphicFramePr/>
                <a:graphic xmlns:a="http://schemas.openxmlformats.org/drawingml/2006/main">
                  <a:graphicData uri="http://schemas.microsoft.com/office/word/2010/wordprocessingShape">
                    <wps:wsp>
                      <wps:cNvSpPr/>
                      <wps:spPr>
                        <a:xfrm>
                          <a:off x="0" y="0"/>
                          <a:ext cx="5958840" cy="0"/>
                        </a:xfrm>
                        <a:prstGeom prst="line">
                          <a:avLst/>
                        </a:prstGeom>
                        <a:ln w="9525" cap="flat" cmpd="sng">
                          <a:solidFill>
                            <a:srgbClr val="4579B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pt;margin-top:19.8pt;height:0pt;width:469.2pt;mso-position-horizontal-relative:margin;z-index:251660288;mso-width-relative:margin;mso-height-relative:margin;" filled="f" stroked="t" coordsize="21600,21600" o:gfxdata="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UYhDVAAAA&#10;CAEAAA8AAAAAAAAAAQAgAAAAIgAAAGRycy9kb3ducmV2LnhtbFBLAQIUABQAAAAIAIdO4kChkRHd&#10;5wEAAOUDAAAOAAAAAAAAAAEAIAAAACQBAABkcnMvZTJvRG9jLnhtbFBLBQYAAAAABgAGAFkBAAB9&#10;BQAAAAA=&#10;">
                <v:fill on="f" focussize="0,0"/>
                <v:stroke color="#4579B8" joinstyle="round"/>
                <v:imagedata o:title=""/>
                <o:lock v:ext="edit" aspectratio="f"/>
              </v:line>
            </w:pict>
          </mc:Fallback>
        </mc:AlternateContent>
      </w:r>
    </w:p>
    <w:p>
      <w:pPr>
        <w:ind w:right="354"/>
        <w:jc w:val="center"/>
        <w:rPr>
          <w:rFonts w:ascii="Times New Roman" w:hAnsi="Times New Roman" w:cs="Times New Roman"/>
          <w:b/>
          <w:sz w:val="32"/>
          <w:szCs w:val="32"/>
        </w:rPr>
      </w:pPr>
      <w:r>
        <w:rPr>
          <w:rFonts w:ascii="Times New Roman" w:hAnsi="Times New Roman" w:cs="Times New Roman"/>
          <w:b/>
          <w:sz w:val="32"/>
          <w:szCs w:val="32"/>
        </w:rPr>
        <w:t>Micropropagation des poivron</w:t>
      </w:r>
    </w:p>
    <w:p>
      <w:pPr>
        <w:ind w:right="354"/>
        <w:jc w:val="center"/>
        <w:rPr>
          <w:rFonts w:hint="default" w:ascii="Times New Roman" w:hAnsi="Times New Roman" w:cs="Times New Roman"/>
          <w:bCs/>
          <w:lang w:val="fr-FR"/>
        </w:rPr>
      </w:pPr>
      <w:r>
        <w:rPr>
          <w:rFonts w:ascii="Times New Roman" w:hAnsi="Times New Roman" w:cs="Times New Roman"/>
          <w:bCs/>
        </w:rPr>
        <w:t>Latreche Abir</w:t>
      </w:r>
      <w:r>
        <w:rPr>
          <w:rFonts w:hint="default" w:ascii="Times New Roman" w:hAnsi="Times New Roman" w:cs="Times New Roman"/>
          <w:bCs/>
          <w:lang w:val="fr-FR"/>
        </w:rPr>
        <w:t>/</w:t>
      </w:r>
      <w:r>
        <w:rPr>
          <w:rFonts w:ascii="Times New Roman" w:hAnsi="Times New Roman" w:cs="Times New Roman"/>
          <w:bCs/>
        </w:rPr>
        <w:t>Groupe :0</w:t>
      </w:r>
      <w:r>
        <w:rPr>
          <w:rFonts w:hint="default" w:ascii="Times New Roman" w:hAnsi="Times New Roman" w:cs="Times New Roman"/>
          <w:bCs/>
          <w:lang w:val="fr-FR"/>
        </w:rPr>
        <w:t>2</w:t>
      </w:r>
    </w:p>
    <w:p>
      <w:pPr>
        <w:ind w:right="354"/>
        <w:jc w:val="center"/>
        <w:rPr>
          <w:rFonts w:ascii="Times New Roman" w:hAnsi="Times New Roman" w:cs="Times New Roman"/>
          <w:bCs/>
        </w:rPr>
      </w:pPr>
      <w:r>
        <w:rPr>
          <w:rFonts w:hint="default" w:ascii="Times New Roman" w:hAnsi="Times New Roman" w:cs="Times New Roman"/>
          <w:bCs/>
          <w:lang w:val="fr-FR"/>
        </w:rPr>
        <w:t>E</w:t>
      </w:r>
      <w:r>
        <w:rPr>
          <w:rFonts w:ascii="Times New Roman" w:hAnsi="Times New Roman" w:cs="Times New Roman"/>
          <w:bCs/>
        </w:rPr>
        <w:t>-mail :bavarty95@gmail.com</w:t>
      </w:r>
    </w:p>
    <w:p>
      <w:pPr>
        <w:spacing w:line="240" w:lineRule="auto"/>
        <w:ind w:right="354"/>
        <w:rPr>
          <w:bCs/>
          <w:iCs/>
        </w:rPr>
      </w:pPr>
      <w:bookmarkStart w:id="0" w:name="_GoBack"/>
      <w:bookmarkEnd w:id="0"/>
      <w:r>
        <w:rPr>
          <w:sz w:val="22"/>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287020</wp:posOffset>
                </wp:positionV>
                <wp:extent cx="6486525" cy="1876425"/>
                <wp:effectExtent l="4445" t="4445" r="5080" b="5080"/>
                <wp:wrapNone/>
                <wp:docPr id="5" name="Zone de texte 9"/>
                <wp:cNvGraphicFramePr/>
                <a:graphic xmlns:a="http://schemas.openxmlformats.org/drawingml/2006/main">
                  <a:graphicData uri="http://schemas.microsoft.com/office/word/2010/wordprocessingShape">
                    <wps:wsp>
                      <wps:cNvSpPr txBox="1"/>
                      <wps:spPr>
                        <a:xfrm>
                          <a:off x="508635" y="2249170"/>
                          <a:ext cx="6486525" cy="1876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Résumé :</w:t>
                            </w:r>
                          </w:p>
                          <w:p>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Ce travail a pour objet l’application de l’obtention techniques de culture in vitro de poivre. Sur </w:t>
                            </w:r>
                            <w:r>
                              <w:rPr>
                                <w:rFonts w:hint="default" w:ascii="Times New Roman" w:hAnsi="Times New Roman" w:cs="Times New Roman"/>
                                <w:b/>
                                <w:bCs/>
                                <w:color w:val="000000" w:themeColor="text1"/>
                                <w:sz w:val="24"/>
                                <w:szCs w:val="24"/>
                                <w:lang w:val="fr-FR"/>
                              </w:rPr>
                              <w:t>deux</w:t>
                            </w:r>
                            <w:r>
                              <w:rPr>
                                <w:rFonts w:ascii="Times New Roman" w:hAnsi="Times New Roman" w:cs="Times New Roman"/>
                                <w:b/>
                                <w:bCs/>
                                <w:color w:val="000000" w:themeColor="text1"/>
                                <w:sz w:val="24"/>
                                <w:szCs w:val="24"/>
                              </w:rPr>
                              <w:t xml:space="preserve"> milieu</w:t>
                            </w:r>
                            <w:r>
                              <w:rPr>
                                <w:rFonts w:hint="default" w:ascii="Times New Roman" w:hAnsi="Times New Roman" w:cs="Times New Roman"/>
                                <w:b/>
                                <w:bCs/>
                                <w:color w:val="000000" w:themeColor="text1"/>
                                <w:sz w:val="24"/>
                                <w:szCs w:val="24"/>
                                <w:lang w:val="fr-FR"/>
                              </w:rPr>
                              <w:t>x</w:t>
                            </w:r>
                            <w:r>
                              <w:rPr>
                                <w:rFonts w:ascii="Times New Roman" w:hAnsi="Times New Roman" w:cs="Times New Roman"/>
                                <w:b/>
                                <w:bCs/>
                                <w:color w:val="000000" w:themeColor="text1"/>
                                <w:sz w:val="24"/>
                                <w:szCs w:val="24"/>
                              </w:rPr>
                              <w:t xml:space="preserve"> de culture Garborg B5 </w:t>
                            </w:r>
                            <w:r>
                              <w:rPr>
                                <w:rFonts w:hint="default" w:ascii="Times New Roman" w:hAnsi="Times New Roman" w:cs="Times New Roman"/>
                                <w:b/>
                                <w:bCs/>
                                <w:color w:val="000000" w:themeColor="text1"/>
                                <w:sz w:val="24"/>
                                <w:szCs w:val="24"/>
                                <w:lang w:val="fr-FR"/>
                              </w:rPr>
                              <w:t xml:space="preserve"> et MS </w:t>
                            </w:r>
                            <w:r>
                              <w:rPr>
                                <w:rFonts w:ascii="Times New Roman" w:hAnsi="Times New Roman" w:cs="Times New Roman"/>
                                <w:b/>
                                <w:bCs/>
                                <w:color w:val="000000" w:themeColor="text1"/>
                                <w:sz w:val="24"/>
                                <w:szCs w:val="24"/>
                              </w:rPr>
                              <w:t xml:space="preserve">medium constituée principalement l’eau ionisé et les sels minéraux (macroélément, microéléments) d’éléments organique, solidifiée au moyen d'agarose ph doit être compris entre 5,5 et 7 avec des conditions stérile, et dans un environnement contrôle (ph, température et éclairement). </w:t>
                            </w:r>
                          </w:p>
                          <w:p>
                            <w:pPr>
                              <w:rPr>
                                <w:b/>
                                <w:bCs/>
                                <w:sz w:val="24"/>
                                <w:szCs w:val="24"/>
                              </w:rPr>
                            </w:pPr>
                            <w:r>
                              <w:rPr>
                                <w:rFonts w:ascii="Times New Roman" w:hAnsi="Times New Roman" w:cs="Times New Roman"/>
                                <w:b/>
                                <w:bCs/>
                                <w:color w:val="000000" w:themeColor="text1"/>
                                <w:sz w:val="24"/>
                                <w:szCs w:val="24"/>
                              </w:rPr>
                              <w:t xml:space="preserve">Mots-clés.: milieu de culture, poivre, solutions mère, micro propagation. </w:t>
                            </w:r>
                          </w:p>
                          <w:p/>
                        </w:txbxContent>
                      </wps:txbx>
                      <wps:bodyPr vert="horz" anchor="t" anchorCtr="0" upright="1"/>
                    </wps:wsp>
                  </a:graphicData>
                </a:graphic>
              </wp:anchor>
            </w:drawing>
          </mc:Choice>
          <mc:Fallback>
            <w:pict>
              <v:shape id="Zone de texte 9" o:spid="_x0000_s1026" o:spt="202" type="#_x0000_t202" style="position:absolute;left:0pt;margin-left:4.05pt;margin-top:22.6pt;height:147.75pt;width:510.75pt;z-index:251664384;mso-width-relative:page;mso-height-relative:page;" fillcolor="#FFFFFF" filled="t" stroked="t" coordsize="21600,21600" o:gfxdata="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KdLoTYAAAA&#10;CQEAAA8AAAAAAAAAAQAgAAAAIgAAAGRycy9kb3ducmV2LnhtbFBLAQIUABQAAAAIAIdO4kC9CyF9&#10;HQIAAGsEAAAOAAAAAAAAAAEAIAAAACcBAABkcnMvZTJvRG9jLnhtbFBLBQYAAAAABgAGAFkBAAC2&#10;BQAAAAA=&#10;">
                <v:fill on="t" focussize="0,0"/>
                <v:stroke color="#000000" joinstyle="miter"/>
                <v:imagedata o:title=""/>
                <o:lock v:ext="edit" aspectratio="f"/>
                <v:textbox>
                  <w:txbxContent>
                    <w:p>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Résumé :</w:t>
                      </w:r>
                    </w:p>
                    <w:p>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Ce travail a pour objet l’application de l’obtention techniques de culture in vitro de poivre. Sur </w:t>
                      </w:r>
                      <w:r>
                        <w:rPr>
                          <w:rFonts w:hint="default" w:ascii="Times New Roman" w:hAnsi="Times New Roman" w:cs="Times New Roman"/>
                          <w:b/>
                          <w:bCs/>
                          <w:color w:val="000000" w:themeColor="text1"/>
                          <w:sz w:val="24"/>
                          <w:szCs w:val="24"/>
                          <w:lang w:val="fr-FR"/>
                        </w:rPr>
                        <w:t>deux</w:t>
                      </w:r>
                      <w:r>
                        <w:rPr>
                          <w:rFonts w:ascii="Times New Roman" w:hAnsi="Times New Roman" w:cs="Times New Roman"/>
                          <w:b/>
                          <w:bCs/>
                          <w:color w:val="000000" w:themeColor="text1"/>
                          <w:sz w:val="24"/>
                          <w:szCs w:val="24"/>
                        </w:rPr>
                        <w:t xml:space="preserve"> milieu</w:t>
                      </w:r>
                      <w:r>
                        <w:rPr>
                          <w:rFonts w:hint="default" w:ascii="Times New Roman" w:hAnsi="Times New Roman" w:cs="Times New Roman"/>
                          <w:b/>
                          <w:bCs/>
                          <w:color w:val="000000" w:themeColor="text1"/>
                          <w:sz w:val="24"/>
                          <w:szCs w:val="24"/>
                          <w:lang w:val="fr-FR"/>
                        </w:rPr>
                        <w:t>x</w:t>
                      </w:r>
                      <w:r>
                        <w:rPr>
                          <w:rFonts w:ascii="Times New Roman" w:hAnsi="Times New Roman" w:cs="Times New Roman"/>
                          <w:b/>
                          <w:bCs/>
                          <w:color w:val="000000" w:themeColor="text1"/>
                          <w:sz w:val="24"/>
                          <w:szCs w:val="24"/>
                        </w:rPr>
                        <w:t xml:space="preserve"> de culture Garborg B5 </w:t>
                      </w:r>
                      <w:r>
                        <w:rPr>
                          <w:rFonts w:hint="default" w:ascii="Times New Roman" w:hAnsi="Times New Roman" w:cs="Times New Roman"/>
                          <w:b/>
                          <w:bCs/>
                          <w:color w:val="000000" w:themeColor="text1"/>
                          <w:sz w:val="24"/>
                          <w:szCs w:val="24"/>
                          <w:lang w:val="fr-FR"/>
                        </w:rPr>
                        <w:t xml:space="preserve"> et MS </w:t>
                      </w:r>
                      <w:r>
                        <w:rPr>
                          <w:rFonts w:ascii="Times New Roman" w:hAnsi="Times New Roman" w:cs="Times New Roman"/>
                          <w:b/>
                          <w:bCs/>
                          <w:color w:val="000000" w:themeColor="text1"/>
                          <w:sz w:val="24"/>
                          <w:szCs w:val="24"/>
                        </w:rPr>
                        <w:t xml:space="preserve">medium constituée principalement l’eau ionisé et les sels minéraux (macroélément, microéléments) d’éléments organique, solidifiée au moyen d'agarose ph doit être compris entre 5,5 et 7 avec des conditions stérile, et dans un environnement contrôle (ph, température et éclairement). </w:t>
                      </w:r>
                    </w:p>
                    <w:p>
                      <w:pPr>
                        <w:rPr>
                          <w:b/>
                          <w:bCs/>
                          <w:sz w:val="24"/>
                          <w:szCs w:val="24"/>
                        </w:rPr>
                      </w:pPr>
                      <w:r>
                        <w:rPr>
                          <w:rFonts w:ascii="Times New Roman" w:hAnsi="Times New Roman" w:cs="Times New Roman"/>
                          <w:b/>
                          <w:bCs/>
                          <w:color w:val="000000" w:themeColor="text1"/>
                          <w:sz w:val="24"/>
                          <w:szCs w:val="24"/>
                        </w:rPr>
                        <w:t xml:space="preserve">Mots-clés.: milieu de culture, poivre, solutions mère, micro propagation. </w:t>
                      </w:r>
                    </w:p>
                    <w:p/>
                  </w:txbxContent>
                </v:textbox>
              </v:shape>
            </w:pict>
          </mc:Fallback>
        </mc:AlternateContent>
      </w:r>
      <w:r>
        <w:rPr>
          <w:rFonts w:ascii="Times New Roman" w:hAnsi="Times New Roman" w:cs="Times New Roman"/>
          <w:bCs/>
        </w:rPr>
        <w:t>Laboratoire de la BiotchnologieVégétal,Faculté de Science et Technologie, Centre Universitaire de Mila.</w:t>
      </w:r>
    </w:p>
    <w:p>
      <w:pPr>
        <w:tabs>
          <w:tab w:val="left" w:pos="6876"/>
        </w:tabs>
        <w:rPr>
          <w:b/>
          <w:i/>
        </w:rPr>
      </w:pPr>
    </w:p>
    <w:p>
      <w:pPr>
        <w:tabs>
          <w:tab w:val="left" w:pos="6876"/>
        </w:tabs>
        <w:rPr>
          <w:b/>
          <w:i/>
        </w:rPr>
      </w:pPr>
      <w:r>
        <w:rPr>
          <w:b/>
          <w:i/>
        </w:rPr>
        <w:tab/>
      </w:r>
    </w:p>
    <w:p>
      <w:pPr>
        <w:tabs>
          <w:tab w:val="left" w:pos="6876"/>
        </w:tabs>
        <w:rPr>
          <w:b/>
          <w:i/>
        </w:rPr>
      </w:pPr>
    </w:p>
    <w:p>
      <w:pPr>
        <w:tabs>
          <w:tab w:val="left" w:pos="6876"/>
        </w:tabs>
        <w:rPr>
          <w:b/>
          <w:i/>
        </w:rPr>
      </w:pPr>
    </w:p>
    <w:p>
      <w:pPr>
        <w:tabs>
          <w:tab w:val="left" w:pos="6876"/>
        </w:tabs>
        <w:rPr>
          <w:b/>
          <w:i/>
        </w:rPr>
      </w:pPr>
    </w:p>
    <w:p>
      <w:pPr>
        <w:tabs>
          <w:tab w:val="left" w:pos="6876"/>
        </w:tabs>
        <w:rPr>
          <w:b/>
          <w:i/>
        </w:rPr>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708" w:footer="708" w:gutter="0"/>
          <w:pgNumType w:start="1"/>
          <w:cols w:space="720" w:num="1"/>
        </w:sectPr>
      </w:pPr>
    </w:p>
    <w:p>
      <w:pPr>
        <w:spacing w:line="240" w:lineRule="auto"/>
        <w:rPr>
          <w:rFonts w:ascii="Times New Roman" w:hAnsi="Times New Roman" w:cs="Times New Roman"/>
          <w:b/>
          <w:sz w:val="32"/>
          <w:szCs w:val="32"/>
        </w:rPr>
      </w:pPr>
    </w:p>
    <w:p>
      <w:pPr>
        <w:spacing w:line="240" w:lineRule="auto"/>
        <w:rPr>
          <w:rFonts w:ascii="Times New Roman" w:hAnsi="Times New Roman" w:cs="Times New Roman"/>
          <w:b/>
          <w:sz w:val="28"/>
          <w:szCs w:val="28"/>
        </w:rPr>
      </w:pPr>
      <w:r>
        <w:rPr>
          <w:rFonts w:ascii="Times New Roman" w:hAnsi="Times New Roman" w:cs="Times New Roman"/>
          <w:b/>
          <w:sz w:val="28"/>
          <w:szCs w:val="28"/>
        </w:rPr>
        <w:t>Introduction :</w:t>
      </w:r>
    </w:p>
    <w:p>
      <w:pPr>
        <w:jc w:val="both"/>
        <w:rPr>
          <w:rFonts w:ascii="Times New Roman" w:hAnsi="Times New Roman" w:eastAsia="Times New Roman" w:cs="Times New Roman"/>
          <w:color w:val="333333"/>
          <w:sz w:val="24"/>
          <w:szCs w:val="24"/>
          <w:shd w:val="clear" w:color="auto" w:fill="FFFFFF"/>
        </w:rPr>
      </w:pPr>
      <w:r>
        <w:rPr>
          <w:rFonts w:ascii="Times New Roman" w:hAnsi="Times New Roman" w:eastAsia="Times New Roman" w:cs="Times New Roman"/>
          <w:sz w:val="24"/>
          <w:szCs w:val="24"/>
        </w:rPr>
        <w:t>La culture</w:t>
      </w:r>
      <w:r>
        <w:rPr>
          <w:rFonts w:ascii="Times New Roman" w:hAnsi="Times New Roman" w:eastAsia="Times New Roman" w:cs="Times New Roman"/>
          <w:i/>
          <w:iCs/>
          <w:sz w:val="24"/>
          <w:szCs w:val="24"/>
        </w:rPr>
        <w:t> </w:t>
      </w:r>
      <w:r>
        <w:rPr>
          <w:rStyle w:val="12"/>
          <w:rFonts w:ascii="Times New Roman" w:hAnsi="Times New Roman" w:eastAsia="Times New Roman" w:cs="Times New Roman"/>
          <w:i w:val="0"/>
          <w:iCs w:val="0"/>
          <w:color w:val="000000" w:themeColor="text1"/>
          <w:sz w:val="24"/>
          <w:szCs w:val="24"/>
        </w:rPr>
        <w:t>in vitro</w:t>
      </w:r>
      <w:r>
        <w:rPr>
          <w:rFonts w:ascii="Times New Roman" w:hAnsi="Times New Roman" w:eastAsia="Times New Roman" w:cs="Times New Roman"/>
          <w:sz w:val="24"/>
          <w:szCs w:val="24"/>
        </w:rPr>
        <w:t> est une</w:t>
      </w:r>
      <w:r>
        <w:rPr>
          <w:rFonts w:hint="default" w:ascii="Times New Roman" w:hAnsi="Times New Roman" w:eastAsia="Times New Roman" w:cs="Times New Roman"/>
          <w:sz w:val="24"/>
          <w:szCs w:val="24"/>
          <w:lang w:val="fr-FR"/>
        </w:rPr>
        <w:t xml:space="preserve"> </w:t>
      </w:r>
      <w:r>
        <w:rPr>
          <w:rFonts w:ascii="Times New Roman" w:hAnsi="Times New Roman" w:eastAsia="Times New Roman" w:cs="Times New Roman"/>
          <w:sz w:val="24"/>
          <w:szCs w:val="24"/>
        </w:rPr>
        <w:t xml:space="preserve">technique amment pour les espèces à multiplication végétative. Elle permet la production en quantité de jeunes plants et </w:t>
      </w:r>
      <w:r>
        <w:rPr>
          <w:rFonts w:ascii="Times New Roman" w:hAnsi="Times New Roman" w:cs="Times New Roman"/>
          <w:sz w:val="24"/>
          <w:szCs w:val="24"/>
        </w:rPr>
        <w:t>vitamines comme la thiamine, l'inositol, la pyridoxine, l'acide nicotinique</w:t>
      </w:r>
      <w:r>
        <w:rPr>
          <w:rFonts w:ascii="Times New Roman" w:hAnsi="Times New Roman" w:eastAsia="Times New Roman" w:cs="Times New Roman"/>
          <w:sz w:val="24"/>
          <w:szCs w:val="24"/>
        </w:rPr>
        <w:t>garantit la circulation de matériel végétal sain.</w:t>
      </w:r>
      <w:r>
        <w:rPr>
          <w:rFonts w:ascii="Times New Roman" w:hAnsi="Times New Roman" w:cs="Times New Roman"/>
          <w:sz w:val="24"/>
          <w:szCs w:val="24"/>
        </w:rPr>
        <w:t xml:space="preserve"> La technique de culture </w:t>
      </w:r>
      <w:r>
        <w:rPr>
          <w:rStyle w:val="12"/>
          <w:rFonts w:ascii="Times New Roman" w:hAnsi="Times New Roman" w:cs="Times New Roman"/>
          <w:color w:val="000000" w:themeColor="text1"/>
          <w:sz w:val="24"/>
          <w:szCs w:val="24"/>
        </w:rPr>
        <w:t>in vitro</w:t>
      </w:r>
      <w:r>
        <w:rPr>
          <w:rFonts w:ascii="Times New Roman" w:hAnsi="Times New Roman" w:cs="Times New Roman"/>
          <w:i/>
          <w:iCs/>
          <w:sz w:val="24"/>
          <w:szCs w:val="24"/>
        </w:rPr>
        <w:t> </w:t>
      </w:r>
      <w:r>
        <w:rPr>
          <w:rFonts w:ascii="Times New Roman" w:hAnsi="Times New Roman" w:cs="Times New Roman"/>
          <w:sz w:val="24"/>
          <w:szCs w:val="24"/>
        </w:rPr>
        <w:t>consiste donc à </w:t>
      </w:r>
      <w:r>
        <w:rPr>
          <w:rStyle w:val="11"/>
          <w:rFonts w:ascii="Times New Roman" w:hAnsi="Times New Roman" w:cs="Times New Roman"/>
          <w:b w:val="0"/>
          <w:bCs w:val="0"/>
          <w:color w:val="000000" w:themeColor="text1"/>
          <w:sz w:val="24"/>
          <w:szCs w:val="24"/>
        </w:rPr>
        <w:t>placer en conditions artificielles et plantes</w:t>
      </w:r>
      <w:r>
        <w:rPr>
          <w:rFonts w:ascii="Times New Roman" w:hAnsi="Times New Roman" w:cs="Times New Roman"/>
          <w:sz w:val="24"/>
          <w:szCs w:val="24"/>
        </w:rPr>
        <w:t>, parfois très petits, afin de reproduire plus vite ou en plus grande quantité des plantes entières. La micropropagation consiste en une prolifération des bougeonsaxillaires préexistants surl’explant mère. Ceci offre une bonne garantie de conformité génétique et une bonne stabilité des caractères au cours de repiquages successifs</w:t>
      </w:r>
      <w:r>
        <w:rPr>
          <w:rFonts w:ascii="Times New Roman" w:hAnsi="Times New Roman" w:cs="Times New Roman"/>
          <w:b/>
          <w:bCs/>
          <w:sz w:val="24"/>
          <w:szCs w:val="24"/>
        </w:rPr>
        <w:t>(</w:t>
      </w:r>
      <w:r>
        <w:rPr>
          <w:rStyle w:val="23"/>
          <w:rFonts w:ascii="Times New Roman" w:hAnsi="Times New Roman" w:eastAsia="Times New Roman" w:cs="Times New Roman"/>
          <w:b/>
          <w:bCs/>
          <w:color w:val="202122"/>
          <w:sz w:val="24"/>
          <w:szCs w:val="24"/>
        </w:rPr>
        <w:t xml:space="preserve"> Anonyme .,1999)</w:t>
      </w:r>
      <w:r>
        <w:rPr>
          <w:rStyle w:val="23"/>
          <w:rFonts w:ascii="Times New Roman" w:hAnsi="Times New Roman" w:eastAsia="Times New Roman" w:cs="Times New Roman"/>
          <w:color w:val="202122"/>
          <w:sz w:val="24"/>
          <w:szCs w:val="24"/>
        </w:rPr>
        <w:t xml:space="preserve">. </w:t>
      </w:r>
      <w:r>
        <w:rPr>
          <w:rFonts w:ascii="Times New Roman" w:hAnsi="Times New Roman" w:cs="Times New Roman"/>
          <w:color w:val="000000"/>
          <w:sz w:val="24"/>
          <w:szCs w:val="24"/>
        </w:rPr>
        <w:t xml:space="preserve">Principales techniques de culture in vitro, permettant d'exploiter la diversité et de faciliter les croisements interspécifiques, de diminuer la durée de création des variétés et </w:t>
      </w:r>
      <w:r>
        <w:rPr>
          <w:color w:val="000000"/>
          <w:sz w:val="24"/>
          <w:szCs w:val="24"/>
        </w:rPr>
        <w:t>d'obtenir du matériel végétal sain</w:t>
      </w:r>
      <w:r>
        <w:rPr>
          <w:rFonts w:hint="default"/>
          <w:color w:val="000000"/>
          <w:sz w:val="24"/>
          <w:szCs w:val="24"/>
          <w:lang w:val="fr-FR"/>
        </w:rPr>
        <w:t xml:space="preserve"> </w:t>
      </w:r>
      <w:r>
        <w:rPr>
          <w:rFonts w:ascii="Times New Roman" w:hAnsi="Times New Roman" w:cs="Times New Roman"/>
          <w:b/>
          <w:bCs/>
          <w:color w:val="000000"/>
          <w:sz w:val="24"/>
          <w:szCs w:val="24"/>
        </w:rPr>
        <w:t>(zhyd,1988)</w:t>
      </w:r>
      <w:r>
        <w:rPr>
          <w:color w:val="000000"/>
          <w:sz w:val="24"/>
          <w:szCs w:val="24"/>
        </w:rPr>
        <w:t xml:space="preserve">. </w:t>
      </w:r>
      <w:r>
        <w:rPr>
          <w:rFonts w:ascii="Times New Roman" w:hAnsi="Times New Roman" w:cs="Times New Roman"/>
          <w:color w:val="000000"/>
          <w:sz w:val="24"/>
          <w:szCs w:val="24"/>
        </w:rPr>
        <w:t>poivron</w:t>
      </w:r>
      <w:r>
        <w:rPr>
          <w:rFonts w:ascii="Times New Roman" w:hAnsi="Times New Roman" w:eastAsia="Times New Roman" w:cs="Times New Roman"/>
          <w:color w:val="333333"/>
          <w:sz w:val="24"/>
          <w:szCs w:val="24"/>
          <w:shd w:val="clear" w:color="auto" w:fill="FFFFFF"/>
        </w:rPr>
        <w:t xml:space="preserve"> est une espèce appartenant au genre </w:t>
      </w:r>
      <w:r>
        <w:rPr>
          <w:rStyle w:val="12"/>
          <w:rFonts w:ascii="Times New Roman" w:hAnsi="Times New Roman" w:eastAsia="Times New Roman" w:cs="Times New Roman"/>
          <w:color w:val="333333"/>
          <w:sz w:val="24"/>
          <w:szCs w:val="24"/>
          <w:shd w:val="clear" w:color="auto" w:fill="FFFFFF"/>
        </w:rPr>
        <w:t>Caesium </w:t>
      </w:r>
      <w:r>
        <w:rPr>
          <w:rFonts w:ascii="Times New Roman" w:hAnsi="Times New Roman" w:eastAsia="Times New Roman" w:cs="Times New Roman"/>
          <w:color w:val="333333"/>
          <w:sz w:val="24"/>
          <w:szCs w:val="24"/>
          <w:shd w:val="clear" w:color="auto" w:fill="FFFFFF"/>
        </w:rPr>
        <w:t>qui compte une quarantaine d'espèces originaires des régions chaudes d'Amérique du Sud. Ce genre comprend tous les </w:t>
      </w:r>
      <w:r>
        <w:fldChar w:fldCharType="begin"/>
      </w:r>
      <w:r>
        <w:instrText xml:space="preserve"> HYPERLINK "https://jardinage.ooreka.fr/plante/voir/300/piment" </w:instrText>
      </w:r>
      <w:r>
        <w:fldChar w:fldCharType="separate"/>
      </w:r>
      <w:r>
        <w:rPr>
          <w:rStyle w:val="9"/>
          <w:rFonts w:ascii="Times New Roman" w:hAnsi="Times New Roman" w:eastAsia="Times New Roman" w:cs="Times New Roman"/>
          <w:color w:val="000000" w:themeColor="text1"/>
          <w:sz w:val="24"/>
          <w:szCs w:val="24"/>
        </w:rPr>
        <w:t>piments</w:t>
      </w:r>
      <w:r>
        <w:rPr>
          <w:rStyle w:val="9"/>
          <w:rFonts w:ascii="Times New Roman" w:hAnsi="Times New Roman" w:eastAsia="Times New Roman" w:cs="Times New Roman"/>
          <w:color w:val="000000" w:themeColor="text1"/>
          <w:sz w:val="24"/>
          <w:szCs w:val="24"/>
        </w:rPr>
        <w:fldChar w:fldCharType="end"/>
      </w:r>
      <w:r>
        <w:rPr>
          <w:rFonts w:ascii="Times New Roman" w:hAnsi="Times New Roman" w:eastAsia="Times New Roman" w:cs="Times New Roman"/>
          <w:color w:val="333333"/>
          <w:sz w:val="24"/>
          <w:szCs w:val="24"/>
          <w:shd w:val="clear" w:color="auto" w:fill="FFFFFF"/>
        </w:rPr>
        <w:t xml:space="preserve"> qu'ils soient forts ou doux comme </w:t>
      </w:r>
    </w:p>
    <w:p>
      <w:pPr>
        <w:rPr>
          <w:rFonts w:ascii="Times New Roman" w:hAnsi="Times New Roman" w:eastAsia="Times New Roman" w:cs="Times New Roman"/>
          <w:color w:val="333333"/>
          <w:sz w:val="24"/>
          <w:szCs w:val="24"/>
          <w:shd w:val="clear" w:color="auto" w:fill="FFFFFF"/>
        </w:rPr>
      </w:pPr>
    </w:p>
    <w:p>
      <w:pPr>
        <w:rPr>
          <w:rFonts w:ascii="Times New Roman" w:hAnsi="Times New Roman" w:eastAsia="Times New Roman" w:cs="Times New Roman"/>
          <w:color w:val="333333"/>
          <w:sz w:val="24"/>
          <w:szCs w:val="24"/>
          <w:shd w:val="clear" w:color="auto" w:fill="FFFFFF"/>
        </w:rPr>
      </w:pPr>
    </w:p>
    <w:p>
      <w:pPr>
        <w:rPr>
          <w:rFonts w:ascii="Times New Roman" w:hAnsi="Times New Roman" w:eastAsia="Times New Roman" w:cs="Times New Roman"/>
          <w:color w:val="333333"/>
          <w:sz w:val="24"/>
          <w:szCs w:val="24"/>
          <w:shd w:val="clear" w:color="auto" w:fill="FFFFFF"/>
        </w:rPr>
      </w:pPr>
    </w:p>
    <w:p>
      <w:pPr>
        <w:jc w:val="both"/>
        <w:rPr>
          <w:rFonts w:ascii="Times New Roman" w:hAnsi="Times New Roman" w:eastAsia="Times New Roman" w:cs="Times New Roman"/>
          <w:color w:val="333333"/>
          <w:sz w:val="24"/>
          <w:szCs w:val="24"/>
          <w:shd w:val="clear" w:color="auto" w:fill="FFFFFF"/>
        </w:rPr>
      </w:pPr>
      <w:r>
        <w:rPr>
          <w:rFonts w:ascii="Times New Roman" w:hAnsi="Times New Roman" w:eastAsia="Times New Roman" w:cs="Times New Roman"/>
          <w:color w:val="333333"/>
          <w:sz w:val="24"/>
          <w:szCs w:val="24"/>
          <w:shd w:val="clear" w:color="auto" w:fill="FFFFFF"/>
        </w:rPr>
        <w:t xml:space="preserve">le poivron. Il appartient à la vaste famille des Solanacées qui compte de nombreux autres légumes </w:t>
      </w:r>
    </w:p>
    <w:p>
      <w:pPr>
        <w:jc w:val="both"/>
        <w:rPr>
          <w:rFonts w:ascii="Times New Roman" w:hAnsi="Times New Roman" w:cs="Times New Roman"/>
          <w:sz w:val="24"/>
          <w:szCs w:val="24"/>
        </w:rPr>
      </w:pPr>
      <w:r>
        <w:rPr>
          <w:rFonts w:ascii="Times New Roman" w:hAnsi="Times New Roman" w:eastAsia="Times New Roman" w:cs="Times New Roman"/>
          <w:color w:val="333333"/>
          <w:sz w:val="24"/>
          <w:szCs w:val="24"/>
          <w:shd w:val="clear" w:color="auto" w:fill="FFFFFF"/>
        </w:rPr>
        <w:t xml:space="preserve">cultivés tels que tomates, aubergines, pommes de terre </w:t>
      </w:r>
      <w:r>
        <w:rPr>
          <w:rFonts w:ascii="Times New Roman" w:hAnsi="Times New Roman" w:cs="Times New Roman"/>
          <w:color w:val="000000"/>
          <w:sz w:val="24"/>
          <w:szCs w:val="24"/>
        </w:rPr>
        <w:t xml:space="preserve">. </w:t>
      </w:r>
    </w:p>
    <w:p>
      <w:pPr>
        <w:spacing w:line="240" w:lineRule="auto"/>
        <w:ind w:right="354"/>
        <w:jc w:val="both"/>
        <w:rPr>
          <w:rFonts w:ascii="Times New Roman" w:hAnsi="Times New Roman" w:cs="Times New Roman"/>
          <w:b/>
          <w:sz w:val="28"/>
          <w:szCs w:val="28"/>
        </w:rPr>
      </w:pPr>
      <w:r>
        <w:rPr>
          <w:rFonts w:ascii="Times New Roman" w:hAnsi="Times New Roman" w:cs="Times New Roman"/>
          <w:b/>
          <w:sz w:val="28"/>
          <w:szCs w:val="28"/>
        </w:rPr>
        <w:t>Matériel et Méthode :</w:t>
      </w:r>
    </w:p>
    <w:p>
      <w:pPr>
        <w:tabs>
          <w:tab w:val="left" w:pos="142"/>
        </w:tabs>
        <w:spacing w:line="360" w:lineRule="auto"/>
        <w:ind w:right="39"/>
        <w:jc w:val="both"/>
        <w:rPr>
          <w:sz w:val="24"/>
          <w:szCs w:val="24"/>
        </w:rPr>
        <w:sectPr>
          <w:type w:val="continuous"/>
          <w:pgSz w:w="11906" w:h="16838"/>
          <w:pgMar w:top="720" w:right="720" w:bottom="720" w:left="720" w:header="708" w:footer="708" w:gutter="0"/>
          <w:cols w:equalWidth="0" w:num="2">
            <w:col w:w="5020" w:space="425"/>
            <w:col w:w="5020"/>
          </w:cols>
        </w:sectPr>
      </w:pPr>
      <w:r>
        <w:rPr>
          <w:rFonts w:ascii="Times New Roman" w:hAnsi="Times New Roman" w:cs="Times New Roman"/>
          <w:color w:val="000000"/>
          <w:sz w:val="24"/>
          <w:szCs w:val="24"/>
        </w:rPr>
        <w:t xml:space="preserve"> à partir de</w:t>
      </w:r>
      <w:r>
        <w:rPr>
          <w:rFonts w:hint="default" w:ascii="Times New Roman" w:hAnsi="Times New Roman" w:cs="Times New Roman"/>
          <w:color w:val="000000"/>
          <w:sz w:val="24"/>
          <w:szCs w:val="24"/>
          <w:lang w:val="fr-FR"/>
        </w:rPr>
        <w:t>s</w:t>
      </w:r>
      <w:r>
        <w:rPr>
          <w:rFonts w:ascii="Times New Roman" w:hAnsi="Times New Roman" w:cs="Times New Roman"/>
          <w:color w:val="000000"/>
          <w:sz w:val="24"/>
          <w:szCs w:val="24"/>
        </w:rPr>
        <w:t xml:space="preserve"> explants prélevés ont été effectuées la culture sur un milieux Garborg B5 medium Les constituants principaux de ce milieu sont des sels minéraux, vitamines et glucides. Nitrate de potassium sert comme une source unique de nitrate comme augmenté teneur en nitrate (bénéfique pour les callus de la racine) et le sulfate d'ammonium (améliore la croissance cellulaire). Le dihydrogénophosphate de sodium sert de phosphate source et les microéléments comme le bore, le manganèse, Le molybdène, le cuivre, le fer et le zinc(jouent un rôle essentiel métabolisme végétal). Le bore (joue un rôle clé dansles glucides métabolisme). Les vitamines comme la thiamine, Et on réalise  la solidification à l’aide de l’Aga</w:t>
      </w:r>
    </w:p>
    <w:p>
      <w:pPr>
        <w:tabs>
          <w:tab w:val="left" w:pos="142"/>
        </w:tabs>
        <w:spacing w:line="240" w:lineRule="auto"/>
        <w:ind w:right="39"/>
        <w:rPr>
          <w:sz w:val="24"/>
          <w:szCs w:val="24"/>
        </w:rPr>
      </w:pPr>
    </w:p>
    <w:p>
      <w:pPr>
        <w:tabs>
          <w:tab w:val="left" w:pos="142"/>
        </w:tabs>
        <w:spacing w:line="240" w:lineRule="auto"/>
        <w:ind w:right="39"/>
        <w:jc w:val="both"/>
        <w:rPr>
          <w:rFonts w:hint="default" w:ascii="Times New Roman" w:hAnsi="Times New Roman" w:cs="Times New Roman"/>
          <w:sz w:val="24"/>
          <w:szCs w:val="24"/>
          <w:lang w:val="fr-FR"/>
        </w:rPr>
      </w:pPr>
      <w:r>
        <w:rPr>
          <w:rFonts w:ascii="Times New Roman" w:hAnsi="Times New Roman" w:cs="Times New Roman"/>
          <w:sz w:val="24"/>
          <w:szCs w:val="24"/>
        </w:rPr>
        <w:t>Pour obtient  ces milieux il faut suivi cette méthode. On commence par lap réparation de la solution mère (macro et micro-éléments</w:t>
      </w:r>
      <w:r>
        <w:rPr>
          <w:rFonts w:hint="default" w:ascii="Times New Roman" w:hAnsi="Times New Roman" w:cs="Times New Roman"/>
          <w:sz w:val="24"/>
          <w:szCs w:val="24"/>
          <w:lang w:val="fr-FR"/>
        </w:rPr>
        <w:t xml:space="preserve">et </w:t>
      </w:r>
      <w:r>
        <w:rPr>
          <w:rFonts w:ascii="Times New Roman" w:hAnsi="Times New Roman" w:cs="Times New Roman"/>
          <w:sz w:val="24"/>
          <w:szCs w:val="24"/>
        </w:rPr>
        <w:t xml:space="preserve"> FeEDTA</w:t>
      </w:r>
      <w:r>
        <w:rPr>
          <w:rFonts w:hint="default" w:ascii="Times New Roman" w:hAnsi="Times New Roman" w:cs="Times New Roman"/>
          <w:sz w:val="24"/>
          <w:szCs w:val="24"/>
          <w:lang w:val="fr-FR"/>
        </w:rPr>
        <w:t xml:space="preserve"> le</w:t>
      </w:r>
      <w:r>
        <w:rPr>
          <w:rFonts w:ascii="Times New Roman" w:hAnsi="Times New Roman" w:cs="Times New Roman"/>
          <w:sz w:val="24"/>
          <w:szCs w:val="24"/>
        </w:rPr>
        <w:t>s vitamines</w:t>
      </w:r>
      <w:r>
        <w:rPr>
          <w:rFonts w:hint="default" w:ascii="Times New Roman" w:hAnsi="Times New Roman" w:cs="Times New Roman"/>
          <w:sz w:val="24"/>
          <w:szCs w:val="24"/>
          <w:lang w:val="fr-FR"/>
        </w:rPr>
        <w:t xml:space="preserve"> apés c’est le milieu de culturs avec les étapes suivants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La</w:t>
      </w:r>
      <w:r>
        <w:rPr>
          <w:rFonts w:hint="default" w:ascii="Times New Roman" w:hAnsi="Times New Roman" w:cs="Times New Roman"/>
          <w:sz w:val="24"/>
          <w:szCs w:val="24"/>
          <w:lang w:val="fr-FR"/>
        </w:rPr>
        <w:t xml:space="preserve"> </w:t>
      </w:r>
      <w:r>
        <w:rPr>
          <w:rFonts w:ascii="Times New Roman" w:hAnsi="Times New Roman" w:cs="Times New Roman"/>
          <w:sz w:val="24"/>
          <w:szCs w:val="24"/>
        </w:rPr>
        <w:t>préparation de solution de saccharose consistepeser et dissoudre le saccharose jsqdissolution dans l’eau distillée. A partir des solution dont la préparation sont citées ci-dessus, on a pu préparer la solution finale après la régulation de pH à 5,7à l’aide du Noah ou du HCl tout en agitant la solution Compléter le volume de la solution à 1L, cette solution final aqueuse est souvent solidifiée au moyen d’agar (substance extraite des algues marines que l’on appelle agar-agar ou gélose ). La gélose est facilement dissoute à 100C, on doit donc atteindre le point d’ébullition et verser dans les flacons.</w:t>
      </w:r>
    </w:p>
    <w:p>
      <w:pPr>
        <w:tabs>
          <w:tab w:val="left" w:pos="142"/>
        </w:tabs>
        <w:spacing w:line="240" w:lineRule="auto"/>
        <w:ind w:right="39"/>
        <w:jc w:val="both"/>
        <w:rPr>
          <w:rFonts w:ascii="Times New Roman" w:hAnsi="Times New Roman" w:cs="Times New Roman"/>
          <w:b/>
          <w:bCs/>
          <w:sz w:val="28"/>
          <w:szCs w:val="28"/>
        </w:rPr>
      </w:pPr>
      <w:r>
        <w:rPr>
          <w:rFonts w:ascii="Times New Roman" w:hAnsi="Times New Roman" w:cs="Times New Roman"/>
          <w:b/>
          <w:bCs/>
          <w:sz w:val="28"/>
          <w:szCs w:val="28"/>
        </w:rPr>
        <w:t>Stérilisation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La stérilisation de milieu de culture, est assurée par l’autoclave à une température de 120° C, et une pression de 15 psi pendant 20 minutes, la technique de la culture in vitro exige cette température, afin de s’assurer de  la destruction des bactéries.</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Les instruments  métallique de manipulation (pinces, pointes, bistouris ...) ou verreries (Béchers, tubes de culture, boîtes de Pétris ...) à l’aide d’autoclaves 122C pendant 20min autour de manipulation sont planage dans l’éthanol puis passage à la flamme  afin de brulée à l’alcool (On ne trempe jamais un instrument chaud dans l’alcool, celui-ci pourrait prendre en feu)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 Les cultures de tissus végétaux se heurtent à des problèmes de brunissement à cause des contaminations par divers agents (bactéries, champignons ...) ce qui exige l’utilisation de solutions stérilisantes ,  Les explants(tomate et pomme de terre)  sont des germes de tubercules de 0.5 à 1cm qui sont stockés dans l’obscurité pendant un mois pour les stérilisent il faut tremper les explants dans l’éthanol 70 % pendant 30 S (l’alcool agira ici comme agent mouillant) , transférer directement les explants dans une solution</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d’hypochlorite de sodium ou potassium ou l’eau de javel à 1% pendant 15 min 3fois pour  chaque fois 3 min et on fait la stérilisation des microbouturesà l’aide de l’éthanol 70% pendant 30S et l’eau de javel pendant 5 min,En évitant toute contamination, émettre ces explants dans l’eau stérile et en fait le rinçage 3 fois pour chaque fois 3 min.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Tousles instruments métalliques (pinces, pointes, bistouris ...) ou verreries (Béchers, tubes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de culture, boîtes de Pétris ...) sont enrobés avec du papier aluminium, et sont mis à l’étuve à une température de 170° à 200° C pendant 2 heures de temps.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 Au cours des manipulations les instruments métalliques sontplongés dans l’alcool à 70%,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puis passés aux flammes du bec Benzène afin de brûler l’alcool. Avant de commencer la manipulation, on se lave les mains avec du savon suivi de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l’alcool à 70°. On prépare la hotte par stérilisation et la mise en marche de la ventilation. 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prépare tout le nécessaire et on laisse la hotte fonctionner pendant 30 minutes avant de </w:t>
      </w:r>
    </w:p>
    <w:p>
      <w:pPr>
        <w:tabs>
          <w:tab w:val="left" w:pos="142"/>
        </w:tabs>
        <w:spacing w:line="240" w:lineRule="auto"/>
        <w:ind w:right="39"/>
        <w:jc w:val="both"/>
        <w:rPr>
          <w:sz w:val="24"/>
          <w:szCs w:val="24"/>
        </w:rPr>
      </w:pPr>
      <w:r>
        <w:rPr>
          <w:rFonts w:ascii="Times New Roman" w:hAnsi="Times New Roman" w:cs="Times New Roman"/>
          <w:sz w:val="24"/>
          <w:szCs w:val="24"/>
        </w:rPr>
        <w:t>commencer l’ensemencement des explants.</w:t>
      </w:r>
    </w:p>
    <w:p>
      <w:pPr>
        <w:shd w:val="clear" w:color="auto" w:fill="FFFFFF"/>
        <w:spacing w:after="0" w:line="240" w:lineRule="auto"/>
        <w:jc w:val="both"/>
        <w:rPr>
          <w:rFonts w:ascii="Times New Roman" w:hAnsi="Times New Roman" w:cs="Times New Roman"/>
          <w:b/>
          <w:color w:val="333333"/>
          <w:sz w:val="28"/>
          <w:szCs w:val="28"/>
        </w:rPr>
      </w:pPr>
      <w:r>
        <w:rPr>
          <w:rFonts w:ascii="Times New Roman" w:hAnsi="Times New Roman" w:cs="Times New Roman"/>
          <w:b/>
          <w:color w:val="333333"/>
          <w:sz w:val="28"/>
          <w:szCs w:val="28"/>
        </w:rPr>
        <w:t>Résultats :</w:t>
      </w:r>
    </w:p>
    <w:p>
      <w:pPr>
        <w:shd w:val="clear" w:color="auto" w:fill="FFFFFF"/>
        <w:spacing w:after="0" w:line="240" w:lineRule="auto"/>
        <w:jc w:val="both"/>
        <w:rPr>
          <w:rFonts w:ascii="Verdana" w:hAnsi="Verdana" w:eastAsia="Verdana" w:cs="Verdana"/>
          <w:color w:val="333333"/>
          <w:sz w:val="21"/>
          <w:szCs w:val="21"/>
        </w:rPr>
      </w:pPr>
    </w:p>
    <w:p>
      <w:pPr>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L’enracinement c’est l’étape la plus importante dans la culture in vitro, car c’est l’étape qui assure la réussite de la culture.</w:t>
      </w:r>
    </w:p>
    <w:p>
      <w:pPr>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 réponse des vitro plants par la longueur de la partie aérien et la longueur des racines. </w:t>
      </w:r>
    </w:p>
    <w:p>
      <w:pPr>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Les résultats suivants montrée le développement et la croissance de poivron avant le repiquage à déférents jours</w:t>
      </w:r>
      <w:r>
        <w:rPr>
          <w:rFonts w:hint="default" w:ascii="Times New Roman" w:hAnsi="Times New Roman" w:cs="Times New Roman"/>
          <w:color w:val="333333"/>
          <w:sz w:val="24"/>
          <w:szCs w:val="24"/>
          <w:lang w:val="fr-FR"/>
        </w:rPr>
        <w:t xml:space="preserve"> </w:t>
      </w:r>
      <w:r>
        <w:rPr>
          <w:rFonts w:ascii="Times New Roman" w:hAnsi="Times New Roman" w:cs="Times New Roman"/>
          <w:color w:val="333333"/>
          <w:sz w:val="24"/>
          <w:szCs w:val="24"/>
        </w:rPr>
        <w:t>(</w:t>
      </w:r>
      <w:r>
        <w:rPr>
          <w:rFonts w:ascii="Times New Roman" w:hAnsi="Times New Roman" w:cs="Times New Roman"/>
          <w:b/>
          <w:bCs/>
          <w:color w:val="000000" w:themeColor="text1"/>
          <w:sz w:val="24"/>
          <w:szCs w:val="24"/>
        </w:rPr>
        <w:t xml:space="preserve">Les résultats de poivrons au milieu MSI+ de poivrons) </w:t>
      </w:r>
    </w:p>
    <w:p>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résultats de poivrons :</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(une contamination). </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cette expérience les vitro plantes du poivron be croissent</w:t>
      </w:r>
      <w:r>
        <w:rPr>
          <w:rFonts w:hint="default" w:ascii="Times New Roman" w:hAnsi="Times New Roman" w:cs="Times New Roman"/>
          <w:sz w:val="24"/>
          <w:szCs w:val="24"/>
          <w:lang w:val="fr-FR"/>
        </w:rPr>
        <w:t xml:space="preserve"> </w:t>
      </w:r>
      <w:r>
        <w:rPr>
          <w:rFonts w:ascii="Times New Roman" w:hAnsi="Times New Roman" w:cs="Times New Roman"/>
          <w:sz w:val="24"/>
          <w:szCs w:val="24"/>
        </w:rPr>
        <w:t>pas à cause de la contaminations (exemple la taux de flambage, ou la</w:t>
      </w:r>
      <w:r>
        <w:rPr>
          <w:rFonts w:hint="default" w:ascii="Times New Roman" w:hAnsi="Times New Roman" w:cs="Times New Roman"/>
          <w:sz w:val="24"/>
          <w:szCs w:val="24"/>
          <w:lang w:val="fr-FR"/>
        </w:rPr>
        <w:t xml:space="preserve"> </w:t>
      </w:r>
      <w:r>
        <w:rPr>
          <w:rFonts w:ascii="Times New Roman" w:hAnsi="Times New Roman" w:cs="Times New Roman"/>
          <w:sz w:val="24"/>
          <w:szCs w:val="24"/>
        </w:rPr>
        <w:t xml:space="preserve"> contaminations de l’air ou bien des personnes ou l’état de notre échantillons de poivron… etc) </w:t>
      </w:r>
    </w:p>
    <w:p>
      <w:pPr>
        <w:shd w:val="clear" w:color="auto" w:fill="FFFFFF"/>
        <w:spacing w:after="0" w:line="240" w:lineRule="auto"/>
        <w:jc w:val="both"/>
        <w:rPr>
          <w:sz w:val="24"/>
          <w:szCs w:val="24"/>
        </w:rPr>
        <w:sectPr>
          <w:type w:val="continuous"/>
          <w:pgSz w:w="11906" w:h="16838"/>
          <w:pgMar w:top="720" w:right="720" w:bottom="720" w:left="720" w:header="708" w:footer="708" w:gutter="0"/>
          <w:cols w:equalWidth="0" w:num="2">
            <w:col w:w="5020" w:space="425"/>
            <w:col w:w="5020"/>
          </w:cols>
        </w:sectPr>
      </w:pPr>
    </w:p>
    <w:p>
      <w:pPr>
        <w:spacing w:line="240" w:lineRule="auto"/>
        <w:ind w:right="2326"/>
      </w:pPr>
    </w:p>
    <w:tbl>
      <w:tblPr>
        <w:tblStyle w:val="32"/>
        <w:tblpPr w:leftFromText="180" w:rightFromText="180" w:vertAnchor="page" w:horzAnchor="page" w:tblpX="751" w:tblpY="27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525"/>
        <w:gridCol w:w="524"/>
        <w:gridCol w:w="52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8" w:type="dxa"/>
          </w:tcPr>
          <w:p>
            <w:pPr>
              <w:spacing w:after="0" w:line="240" w:lineRule="auto"/>
              <w:jc w:val="both"/>
              <w:rPr>
                <w:color w:val="333333"/>
                <w:sz w:val="24"/>
                <w:szCs w:val="24"/>
              </w:rPr>
            </w:pPr>
          </w:p>
          <w:p>
            <w:pPr>
              <w:spacing w:after="0" w:line="240" w:lineRule="auto"/>
              <w:jc w:val="both"/>
              <w:rPr>
                <w:color w:val="333333"/>
                <w:sz w:val="24"/>
                <w:szCs w:val="24"/>
              </w:rPr>
            </w:pPr>
          </w:p>
        </w:tc>
        <w:tc>
          <w:tcPr>
            <w:tcW w:w="525" w:type="dxa"/>
          </w:tcPr>
          <w:p>
            <w:pPr>
              <w:spacing w:after="0" w:line="240" w:lineRule="auto"/>
              <w:jc w:val="both"/>
              <w:rPr>
                <w:b/>
                <w:bCs/>
                <w:color w:val="333333"/>
                <w:sz w:val="24"/>
                <w:szCs w:val="24"/>
              </w:rPr>
            </w:pPr>
            <w:r>
              <w:rPr>
                <w:color w:val="333333"/>
                <w:sz w:val="24"/>
                <w:szCs w:val="24"/>
              </w:rPr>
              <w:t>3 jrs</w:t>
            </w:r>
          </w:p>
        </w:tc>
        <w:tc>
          <w:tcPr>
            <w:tcW w:w="524" w:type="dxa"/>
          </w:tcPr>
          <w:p>
            <w:pPr>
              <w:spacing w:after="0" w:line="240" w:lineRule="auto"/>
              <w:jc w:val="both"/>
              <w:rPr>
                <w:color w:val="333333"/>
                <w:sz w:val="24"/>
                <w:szCs w:val="24"/>
              </w:rPr>
            </w:pPr>
            <w:r>
              <w:rPr>
                <w:color w:val="333333"/>
                <w:sz w:val="24"/>
                <w:szCs w:val="24"/>
              </w:rPr>
              <w:t>7</w:t>
            </w:r>
          </w:p>
          <w:p>
            <w:pPr>
              <w:spacing w:after="0" w:line="240" w:lineRule="auto"/>
              <w:jc w:val="both"/>
              <w:rPr>
                <w:color w:val="333333"/>
                <w:sz w:val="24"/>
                <w:szCs w:val="24"/>
              </w:rPr>
            </w:pPr>
            <w:r>
              <w:rPr>
                <w:color w:val="333333"/>
                <w:sz w:val="24"/>
                <w:szCs w:val="24"/>
              </w:rPr>
              <w:t>jrs</w:t>
            </w:r>
          </w:p>
        </w:tc>
        <w:tc>
          <w:tcPr>
            <w:tcW w:w="527" w:type="dxa"/>
          </w:tcPr>
          <w:p>
            <w:pPr>
              <w:spacing w:after="0" w:line="240" w:lineRule="auto"/>
              <w:jc w:val="both"/>
              <w:rPr>
                <w:color w:val="333333"/>
                <w:sz w:val="24"/>
                <w:szCs w:val="24"/>
              </w:rPr>
            </w:pPr>
            <w:r>
              <w:rPr>
                <w:color w:val="333333"/>
                <w:sz w:val="24"/>
                <w:szCs w:val="24"/>
              </w:rPr>
              <w:t>10</w:t>
            </w:r>
          </w:p>
          <w:p>
            <w:pPr>
              <w:spacing w:after="0" w:line="240" w:lineRule="auto"/>
              <w:jc w:val="both"/>
              <w:rPr>
                <w:color w:val="333333"/>
                <w:sz w:val="24"/>
                <w:szCs w:val="24"/>
              </w:rPr>
            </w:pPr>
            <w:r>
              <w:rPr>
                <w:color w:val="333333"/>
                <w:sz w:val="24"/>
                <w:szCs w:val="24"/>
              </w:rPr>
              <w:t>jrs</w:t>
            </w:r>
          </w:p>
        </w:tc>
        <w:tc>
          <w:tcPr>
            <w:tcW w:w="1356" w:type="dxa"/>
          </w:tcPr>
          <w:p>
            <w:pPr>
              <w:spacing w:after="0" w:line="240" w:lineRule="auto"/>
              <w:jc w:val="both"/>
              <w:rPr>
                <w:color w:val="333333"/>
                <w:sz w:val="24"/>
                <w:szCs w:val="24"/>
              </w:rPr>
            </w:pPr>
            <w:r>
              <w:rPr>
                <w:color w:val="333333"/>
                <w:sz w:val="24"/>
                <w:szCs w:val="24"/>
              </w:rPr>
              <w:t>15</w:t>
            </w:r>
          </w:p>
          <w:p>
            <w:pPr>
              <w:spacing w:after="0" w:line="240" w:lineRule="auto"/>
              <w:jc w:val="both"/>
              <w:rPr>
                <w:color w:val="333333"/>
                <w:sz w:val="24"/>
                <w:szCs w:val="24"/>
              </w:rPr>
            </w:pPr>
            <w:r>
              <w:rPr>
                <w:color w:val="333333"/>
                <w:sz w:val="24"/>
                <w:szCs w:val="24"/>
              </w:rPr>
              <w:t>jrs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8" w:type="dxa"/>
          </w:tcPr>
          <w:p>
            <w:pPr>
              <w:spacing w:after="0" w:line="240" w:lineRule="auto"/>
              <w:jc w:val="both"/>
              <w:rPr>
                <w:color w:val="333333"/>
                <w:sz w:val="24"/>
                <w:szCs w:val="24"/>
              </w:rPr>
            </w:pPr>
            <w:r>
              <w:rPr>
                <w:color w:val="333333"/>
                <w:sz w:val="24"/>
                <w:szCs w:val="24"/>
              </w:rPr>
              <w:t>Nombre</w:t>
            </w:r>
          </w:p>
          <w:p>
            <w:pPr>
              <w:spacing w:after="0" w:line="240" w:lineRule="auto"/>
              <w:jc w:val="both"/>
              <w:rPr>
                <w:color w:val="333333"/>
                <w:sz w:val="24"/>
                <w:szCs w:val="24"/>
              </w:rPr>
            </w:pPr>
            <w:r>
              <w:rPr>
                <w:color w:val="333333"/>
                <w:sz w:val="24"/>
                <w:szCs w:val="24"/>
              </w:rPr>
              <w:t>De</w:t>
            </w:r>
          </w:p>
          <w:p>
            <w:pPr>
              <w:spacing w:after="0" w:line="240" w:lineRule="auto"/>
              <w:jc w:val="both"/>
              <w:rPr>
                <w:color w:val="333333"/>
                <w:sz w:val="24"/>
                <w:szCs w:val="24"/>
              </w:rPr>
            </w:pPr>
            <w:r>
              <w:rPr>
                <w:color w:val="333333"/>
                <w:sz w:val="24"/>
                <w:szCs w:val="24"/>
              </w:rPr>
              <w:t xml:space="preserve">Taille </w:t>
            </w:r>
          </w:p>
        </w:tc>
        <w:tc>
          <w:tcPr>
            <w:tcW w:w="525"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 xml:space="preserve"> 0</w:t>
            </w:r>
          </w:p>
        </w:tc>
        <w:tc>
          <w:tcPr>
            <w:tcW w:w="524"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527"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 xml:space="preserve"> 0</w:t>
            </w:r>
          </w:p>
        </w:tc>
        <w:tc>
          <w:tcPr>
            <w:tcW w:w="1356"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8" w:type="dxa"/>
          </w:tcPr>
          <w:p>
            <w:pPr>
              <w:spacing w:after="0" w:line="240" w:lineRule="auto"/>
              <w:jc w:val="both"/>
              <w:rPr>
                <w:color w:val="333333"/>
                <w:sz w:val="24"/>
                <w:szCs w:val="24"/>
              </w:rPr>
            </w:pPr>
            <w:r>
              <w:rPr>
                <w:color w:val="333333"/>
                <w:sz w:val="24"/>
                <w:szCs w:val="24"/>
              </w:rPr>
              <w:t xml:space="preserve">La taille de tige (cm) </w:t>
            </w:r>
          </w:p>
        </w:tc>
        <w:tc>
          <w:tcPr>
            <w:tcW w:w="525"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524"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527"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1356"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8" w:type="dxa"/>
          </w:tcPr>
          <w:p>
            <w:pPr>
              <w:spacing w:after="0" w:line="240" w:lineRule="auto"/>
              <w:jc w:val="both"/>
              <w:rPr>
                <w:color w:val="333333"/>
                <w:sz w:val="24"/>
                <w:szCs w:val="24"/>
              </w:rPr>
            </w:pPr>
            <w:r>
              <w:rPr>
                <w:color w:val="333333"/>
                <w:sz w:val="24"/>
                <w:szCs w:val="24"/>
              </w:rPr>
              <w:t xml:space="preserve">La taille de racine(cm) </w:t>
            </w:r>
          </w:p>
        </w:tc>
        <w:tc>
          <w:tcPr>
            <w:tcW w:w="525"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524"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527"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c>
          <w:tcPr>
            <w:tcW w:w="1356" w:type="dxa"/>
          </w:tcPr>
          <w:p>
            <w:pPr>
              <w:spacing w:after="0" w:line="240" w:lineRule="auto"/>
              <w:jc w:val="both"/>
              <w:rPr>
                <w:color w:val="333333"/>
                <w:sz w:val="24"/>
                <w:szCs w:val="24"/>
              </w:rPr>
            </w:pPr>
          </w:p>
          <w:p>
            <w:pPr>
              <w:spacing w:after="0" w:line="240" w:lineRule="auto"/>
              <w:jc w:val="both"/>
              <w:rPr>
                <w:color w:val="333333"/>
                <w:sz w:val="24"/>
                <w:szCs w:val="24"/>
              </w:rPr>
            </w:pPr>
            <w:r>
              <w:rPr>
                <w:color w:val="333333"/>
                <w:sz w:val="24"/>
                <w:szCs w:val="24"/>
              </w:rPr>
              <w:t>0</w:t>
            </w:r>
          </w:p>
        </w:tc>
      </w:tr>
    </w:tbl>
    <w:p>
      <w:pPr>
        <w:rPr>
          <w:rFonts w:ascii="Times New Roman" w:hAnsi="Times New Roman" w:cs="Times New Roman"/>
          <w:sz w:val="24"/>
          <w:szCs w:val="24"/>
        </w:rPr>
      </w:pPr>
      <w:r>
        <w:rPr>
          <w:rFonts w:ascii="Times New Roman" w:hAnsi="Times New Roman" w:cs="Times New Roman"/>
          <w:sz w:val="24"/>
          <w:szCs w:val="24"/>
        </w:rPr>
        <w:t>Tableau 01 le développement et la croissance de poivron.</w:t>
      </w:r>
      <w:r>
        <w:rPr>
          <w:rFonts w:hint="default" w:ascii="Times New Roman" w:hAnsi="Times New Roman" w:cs="Times New Roman"/>
          <w:sz w:val="24"/>
          <w:szCs w:val="24"/>
          <w:lang w:val="fr-FR"/>
        </w:rPr>
        <w:t>sur le milieux B5</w:t>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spacing w:line="240" w:lineRule="auto"/>
        <w:ind w:right="2326"/>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4276725</wp:posOffset>
                </wp:positionH>
                <wp:positionV relativeFrom="paragraph">
                  <wp:posOffset>-1122045</wp:posOffset>
                </wp:positionV>
                <wp:extent cx="1828800" cy="584200"/>
                <wp:effectExtent l="12700" t="12700" r="25400" b="12700"/>
                <wp:wrapNone/>
                <wp:docPr id="8" name="Rectangle 10"/>
                <wp:cNvGraphicFramePr/>
                <a:graphic xmlns:a="http://schemas.openxmlformats.org/drawingml/2006/main">
                  <a:graphicData uri="http://schemas.microsoft.com/office/word/2010/wordprocessingShape">
                    <wps:wsp>
                      <wps:cNvSpPr/>
                      <wps:spPr>
                        <a:xfrm>
                          <a:off x="0" y="0"/>
                          <a:ext cx="1828800" cy="584200"/>
                        </a:xfrm>
                        <a:prstGeom prst="rect">
                          <a:avLst/>
                        </a:prstGeom>
                        <a:solidFill>
                          <a:srgbClr val="FFFFFF"/>
                        </a:solidFill>
                        <a:ln w="25400" cap="flat" cmpd="sng">
                          <a:solidFill>
                            <a:srgbClr val="4F81BD"/>
                          </a:solidFill>
                          <a:prstDash val="solid"/>
                          <a:miter/>
                          <a:headEnd type="none" w="med" len="med"/>
                          <a:tailEnd type="none" w="med" len="med"/>
                        </a:ln>
                      </wps:spPr>
                      <wps:txbx>
                        <w:txbxContent>
                          <w:p>
                            <w:pPr>
                              <w:rPr>
                                <w:rFonts w:ascii="Times New Roman" w:hAnsi="Times New Roman" w:cs="Times New Roman"/>
                                <w:sz w:val="24"/>
                                <w:szCs w:val="24"/>
                              </w:rPr>
                            </w:pPr>
                            <w:r>
                              <w:rPr>
                                <w:rFonts w:ascii="Times New Roman" w:hAnsi="Times New Roman" w:cs="Times New Roman"/>
                                <w:sz w:val="24"/>
                                <w:szCs w:val="24"/>
                              </w:rPr>
                              <w:t xml:space="preserve">Fig.02 la croissance de poivron après 15 jours </w:t>
                            </w:r>
                          </w:p>
                        </w:txbxContent>
                      </wps:txbx>
                      <wps:bodyPr wrap="square" anchor="ctr" anchorCtr="0" upright="1"/>
                    </wps:wsp>
                  </a:graphicData>
                </a:graphic>
              </wp:anchor>
            </w:drawing>
          </mc:Choice>
          <mc:Fallback>
            <w:pict>
              <v:rect id="Rectangle 10" o:spid="_x0000_s1026" o:spt="1" style="position:absolute;left:0pt;margin-left:336.75pt;margin-top:-88.35pt;height:46pt;width:144pt;z-index:251665408;v-text-anchor:middle;mso-width-relative:margin;mso-height-relative:margin;" fillcolor="#FFFFFF" filled="t" stroked="t" coordsize="21600,21600">
                <v:fill on="t" focussize="0,0"/>
                <v:stroke weight="2pt" color="#4F81BD" joinstyle="miter"/>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 xml:space="preserve">Fig.02 la croissance de poivron après 15 jours </w:t>
                      </w:r>
                    </w:p>
                  </w:txbxContent>
                </v:textbox>
              </v:rect>
            </w:pict>
          </mc:Fallback>
        </mc:AlternateContent>
      </w:r>
    </w:p>
    <w:p>
      <w:pPr>
        <w:spacing w:line="240" w:lineRule="auto"/>
        <w:ind w:right="2326"/>
      </w:pPr>
    </w:p>
    <w:p>
      <w:pPr>
        <w:spacing w:line="240" w:lineRule="auto"/>
        <w:ind w:right="2326"/>
      </w:pPr>
    </w:p>
    <w:p>
      <w:pPr>
        <w:spacing w:line="240" w:lineRule="auto"/>
        <w:ind w:right="2326"/>
        <w:sectPr>
          <w:type w:val="continuous"/>
          <w:pgSz w:w="11906" w:h="16838"/>
          <w:pgMar w:top="720" w:right="720" w:bottom="720" w:left="720" w:header="708" w:footer="708" w:gutter="0"/>
          <w:cols w:equalWidth="0" w:num="2">
            <w:col w:w="5020" w:space="425"/>
            <w:col w:w="5020"/>
          </w:cols>
        </w:sect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Les exolant cultuvé dans le milieuc B5 n’ont pas donné une croissance les 15 jour d’observation pour les paramétre d’etudes </w:t>
      </w:r>
      <w:r>
        <w:rPr>
          <w:rFonts w:ascii="Times New Roman" w:hAnsi="Times New Roman" w:cs="Times New Roman"/>
          <w:sz w:val="24"/>
          <w:szCs w:val="24"/>
        </w:rPr>
        <w:t xml:space="preserve"> taille de</w:t>
      </w:r>
      <w:r>
        <w:rPr>
          <w:rFonts w:hint="default" w:ascii="Times New Roman" w:hAnsi="Times New Roman" w:cs="Times New Roman"/>
          <w:sz w:val="24"/>
          <w:szCs w:val="24"/>
          <w:lang w:val="fr-FR"/>
        </w:rPr>
        <w:t xml:space="preserve"> feuille et </w:t>
      </w:r>
      <w:r>
        <w:rPr>
          <w:rFonts w:ascii="Times New Roman" w:hAnsi="Times New Roman" w:cs="Times New Roman"/>
          <w:sz w:val="24"/>
          <w:szCs w:val="24"/>
        </w:rPr>
        <w:t xml:space="preserve"> racine, </w:t>
      </w:r>
      <w:r>
        <w:rPr>
          <w:rFonts w:ascii="Times New Roman" w:hAnsi="Times New Roman" w:cs="Times New Roman"/>
          <w:sz w:val="24"/>
          <w:szCs w:val="24"/>
          <w:lang w:val="fr-FR"/>
        </w:rPr>
        <w:t>Figure</w:t>
      </w:r>
      <w:r>
        <w:rPr>
          <w:rFonts w:hint="default" w:ascii="Times New Roman" w:hAnsi="Times New Roman" w:cs="Times New Roman"/>
          <w:sz w:val="24"/>
          <w:szCs w:val="24"/>
          <w:lang w:val="fr-FR"/>
        </w:rPr>
        <w:t xml:space="preserve"> 1 </w:t>
      </w: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jc w:val="both"/>
        <w:rPr>
          <w:rFonts w:hint="default" w:ascii="Times New Roman" w:hAnsi="Times New Roman" w:cs="Times New Roman"/>
          <w:sz w:val="24"/>
          <w:szCs w:val="24"/>
          <w:lang w:val="fr-FR"/>
        </w:rPr>
      </w:pPr>
      <w:r>
        <w:rPr>
          <w:rFonts w:ascii="Times New Roman" w:hAnsi="Times New Roman" w:cs="Times New Roman"/>
          <w:sz w:val="24"/>
          <w:szCs w:val="24"/>
        </w:rPr>
        <w:t>Tableau 02 le développement et la croissance de poivron</w:t>
      </w:r>
      <w:r>
        <w:rPr>
          <w:rFonts w:hint="default" w:ascii="Times New Roman" w:hAnsi="Times New Roman" w:cs="Times New Roman"/>
          <w:sz w:val="24"/>
          <w:szCs w:val="24"/>
          <w:lang w:val="fr-FR"/>
        </w:rPr>
        <w:t xml:space="preserve"> sur le milieux MS</w:t>
      </w:r>
    </w:p>
    <w:tbl>
      <w:tblPr>
        <w:tblStyle w:val="32"/>
        <w:tblpPr w:leftFromText="180" w:rightFromText="180" w:vertAnchor="page" w:horzAnchor="page" w:tblpX="7201" w:tblpY="39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774"/>
        <w:gridCol w:w="774"/>
        <w:gridCol w:w="606"/>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80" w:type="dxa"/>
          </w:tcPr>
          <w:p>
            <w:pPr>
              <w:tabs>
                <w:tab w:val="left" w:pos="142"/>
              </w:tabs>
              <w:spacing w:after="0" w:line="240" w:lineRule="auto"/>
              <w:ind w:right="39"/>
            </w:pPr>
          </w:p>
        </w:tc>
        <w:tc>
          <w:tcPr>
            <w:tcW w:w="774" w:type="dxa"/>
          </w:tcPr>
          <w:p>
            <w:pPr>
              <w:tabs>
                <w:tab w:val="left" w:pos="142"/>
              </w:tabs>
              <w:spacing w:after="0" w:line="240" w:lineRule="auto"/>
              <w:ind w:right="39"/>
            </w:pPr>
            <w:r>
              <w:t>3j</w:t>
            </w:r>
          </w:p>
        </w:tc>
        <w:tc>
          <w:tcPr>
            <w:tcW w:w="774" w:type="dxa"/>
          </w:tcPr>
          <w:p>
            <w:pPr>
              <w:tabs>
                <w:tab w:val="left" w:pos="142"/>
              </w:tabs>
              <w:spacing w:after="0" w:line="240" w:lineRule="auto"/>
              <w:ind w:right="39"/>
            </w:pPr>
            <w:r>
              <w:t>7j</w:t>
            </w:r>
          </w:p>
        </w:tc>
        <w:tc>
          <w:tcPr>
            <w:tcW w:w="606" w:type="dxa"/>
          </w:tcPr>
          <w:p>
            <w:pPr>
              <w:tabs>
                <w:tab w:val="left" w:pos="142"/>
              </w:tabs>
              <w:spacing w:after="0" w:line="240" w:lineRule="auto"/>
              <w:ind w:right="39"/>
            </w:pPr>
            <w:r>
              <w:t>10j</w:t>
            </w:r>
          </w:p>
        </w:tc>
        <w:tc>
          <w:tcPr>
            <w:tcW w:w="543" w:type="dxa"/>
          </w:tcPr>
          <w:p>
            <w:pPr>
              <w:tabs>
                <w:tab w:val="left" w:pos="142"/>
              </w:tabs>
              <w:spacing w:after="0" w:line="240" w:lineRule="auto"/>
              <w:ind w:right="39"/>
            </w:pPr>
            <w:r>
              <w:t>15</w:t>
            </w:r>
          </w:p>
          <w:p>
            <w:pPr>
              <w:tabs>
                <w:tab w:val="left" w:pos="142"/>
              </w:tabs>
              <w:spacing w:after="0" w:line="240" w:lineRule="auto"/>
              <w:ind w:right="39"/>
            </w:pPr>
            <w: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80" w:type="dxa"/>
          </w:tcPr>
          <w:p>
            <w:pPr>
              <w:tabs>
                <w:tab w:val="left" w:pos="142"/>
              </w:tabs>
              <w:spacing w:after="0" w:line="240" w:lineRule="auto"/>
              <w:ind w:right="39"/>
            </w:pPr>
            <w:r>
              <w:t xml:space="preserve">Nombrede feuilles </w:t>
            </w:r>
          </w:p>
        </w:tc>
        <w:tc>
          <w:tcPr>
            <w:tcW w:w="774" w:type="dxa"/>
          </w:tcPr>
          <w:p>
            <w:pPr>
              <w:tabs>
                <w:tab w:val="left" w:pos="142"/>
              </w:tabs>
              <w:spacing w:after="0" w:line="240" w:lineRule="auto"/>
              <w:ind w:right="39"/>
            </w:pPr>
          </w:p>
          <w:p>
            <w:pPr>
              <w:tabs>
                <w:tab w:val="left" w:pos="142"/>
              </w:tabs>
              <w:spacing w:after="0" w:line="240" w:lineRule="auto"/>
              <w:ind w:right="39"/>
            </w:pPr>
            <w:r>
              <w:t>0</w:t>
            </w:r>
          </w:p>
        </w:tc>
        <w:tc>
          <w:tcPr>
            <w:tcW w:w="774" w:type="dxa"/>
          </w:tcPr>
          <w:p>
            <w:pPr>
              <w:tabs>
                <w:tab w:val="left" w:pos="142"/>
              </w:tabs>
              <w:spacing w:after="0" w:line="240" w:lineRule="auto"/>
              <w:ind w:right="39"/>
            </w:pPr>
          </w:p>
          <w:p>
            <w:pPr>
              <w:tabs>
                <w:tab w:val="left" w:pos="142"/>
              </w:tabs>
              <w:spacing w:after="0" w:line="240" w:lineRule="auto"/>
              <w:ind w:right="39"/>
            </w:pPr>
            <w:r>
              <w:t xml:space="preserve"> 2</w:t>
            </w:r>
          </w:p>
        </w:tc>
        <w:tc>
          <w:tcPr>
            <w:tcW w:w="606" w:type="dxa"/>
          </w:tcPr>
          <w:p>
            <w:pPr>
              <w:tabs>
                <w:tab w:val="left" w:pos="142"/>
              </w:tabs>
              <w:spacing w:after="0" w:line="240" w:lineRule="auto"/>
              <w:ind w:right="39"/>
            </w:pPr>
          </w:p>
          <w:p>
            <w:pPr>
              <w:tabs>
                <w:tab w:val="left" w:pos="142"/>
              </w:tabs>
              <w:spacing w:after="0" w:line="240" w:lineRule="auto"/>
              <w:ind w:right="39"/>
            </w:pPr>
            <w:r>
              <w:t xml:space="preserve"> 2</w:t>
            </w:r>
          </w:p>
        </w:tc>
        <w:tc>
          <w:tcPr>
            <w:tcW w:w="543" w:type="dxa"/>
          </w:tcPr>
          <w:p>
            <w:pPr>
              <w:tabs>
                <w:tab w:val="left" w:pos="142"/>
              </w:tabs>
              <w:spacing w:after="0" w:line="240" w:lineRule="auto"/>
              <w:ind w:right="39"/>
            </w:pPr>
          </w:p>
          <w:p>
            <w:pPr>
              <w:tabs>
                <w:tab w:val="left" w:pos="142"/>
              </w:tabs>
              <w:spacing w:after="0" w:line="240" w:lineRule="auto"/>
              <w:ind w:right="39"/>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80" w:type="dxa"/>
          </w:tcPr>
          <w:p>
            <w:pPr>
              <w:tabs>
                <w:tab w:val="left" w:pos="142"/>
              </w:tabs>
              <w:spacing w:after="0" w:line="240" w:lineRule="auto"/>
              <w:ind w:right="39"/>
            </w:pPr>
            <w:r>
              <w:t>La taille de tige</w:t>
            </w:r>
          </w:p>
        </w:tc>
        <w:tc>
          <w:tcPr>
            <w:tcW w:w="774" w:type="dxa"/>
          </w:tcPr>
          <w:p>
            <w:pPr>
              <w:tabs>
                <w:tab w:val="left" w:pos="142"/>
              </w:tabs>
              <w:spacing w:after="0" w:line="240" w:lineRule="auto"/>
              <w:ind w:right="39"/>
            </w:pPr>
            <w:r>
              <w:t xml:space="preserve">   0</w:t>
            </w:r>
          </w:p>
        </w:tc>
        <w:tc>
          <w:tcPr>
            <w:tcW w:w="774" w:type="dxa"/>
          </w:tcPr>
          <w:p>
            <w:pPr>
              <w:tabs>
                <w:tab w:val="left" w:pos="142"/>
              </w:tabs>
              <w:spacing w:after="0" w:line="240" w:lineRule="auto"/>
              <w:ind w:right="39"/>
            </w:pPr>
            <w:r>
              <w:t xml:space="preserve"> 1.5</w:t>
            </w:r>
          </w:p>
        </w:tc>
        <w:tc>
          <w:tcPr>
            <w:tcW w:w="606" w:type="dxa"/>
          </w:tcPr>
          <w:p>
            <w:pPr>
              <w:tabs>
                <w:tab w:val="left" w:pos="142"/>
              </w:tabs>
              <w:spacing w:after="0" w:line="240" w:lineRule="auto"/>
              <w:ind w:right="39"/>
            </w:pPr>
            <w:r>
              <w:t xml:space="preserve"> 3</w:t>
            </w:r>
          </w:p>
        </w:tc>
        <w:tc>
          <w:tcPr>
            <w:tcW w:w="543" w:type="dxa"/>
          </w:tcPr>
          <w:p>
            <w:pPr>
              <w:tabs>
                <w:tab w:val="left" w:pos="142"/>
              </w:tabs>
              <w:spacing w:after="0" w:line="240" w:lineRule="auto"/>
              <w:ind w:right="39"/>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80" w:type="dxa"/>
          </w:tcPr>
          <w:p>
            <w:pPr>
              <w:tabs>
                <w:tab w:val="left" w:pos="142"/>
              </w:tabs>
              <w:spacing w:after="0" w:line="240" w:lineRule="auto"/>
              <w:ind w:right="39"/>
            </w:pPr>
            <w:r>
              <w:t xml:space="preserve">La tille de racine (cm) </w:t>
            </w:r>
          </w:p>
        </w:tc>
        <w:tc>
          <w:tcPr>
            <w:tcW w:w="774" w:type="dxa"/>
          </w:tcPr>
          <w:p>
            <w:pPr>
              <w:tabs>
                <w:tab w:val="left" w:pos="142"/>
              </w:tabs>
              <w:spacing w:after="0" w:line="240" w:lineRule="auto"/>
              <w:ind w:right="39"/>
            </w:pPr>
          </w:p>
          <w:p>
            <w:pPr>
              <w:tabs>
                <w:tab w:val="left" w:pos="142"/>
              </w:tabs>
              <w:spacing w:after="0" w:line="240" w:lineRule="auto"/>
              <w:ind w:right="39"/>
            </w:pPr>
            <w:r>
              <w:t xml:space="preserve">   0</w:t>
            </w:r>
          </w:p>
        </w:tc>
        <w:tc>
          <w:tcPr>
            <w:tcW w:w="774" w:type="dxa"/>
          </w:tcPr>
          <w:p>
            <w:pPr>
              <w:tabs>
                <w:tab w:val="left" w:pos="142"/>
              </w:tabs>
              <w:spacing w:after="0" w:line="240" w:lineRule="auto"/>
              <w:ind w:right="39"/>
            </w:pPr>
          </w:p>
          <w:p>
            <w:pPr>
              <w:tabs>
                <w:tab w:val="left" w:pos="142"/>
              </w:tabs>
              <w:spacing w:after="0" w:line="240" w:lineRule="auto"/>
              <w:ind w:right="39"/>
            </w:pPr>
            <w:r>
              <w:t xml:space="preserve"> 2</w:t>
            </w:r>
          </w:p>
        </w:tc>
        <w:tc>
          <w:tcPr>
            <w:tcW w:w="606" w:type="dxa"/>
          </w:tcPr>
          <w:p>
            <w:pPr>
              <w:tabs>
                <w:tab w:val="left" w:pos="142"/>
              </w:tabs>
              <w:spacing w:after="0" w:line="240" w:lineRule="auto"/>
              <w:ind w:right="39"/>
            </w:pPr>
          </w:p>
          <w:p>
            <w:pPr>
              <w:tabs>
                <w:tab w:val="left" w:pos="142"/>
              </w:tabs>
              <w:spacing w:after="0" w:line="240" w:lineRule="auto"/>
              <w:ind w:right="39"/>
            </w:pPr>
            <w:r>
              <w:t>3.5</w:t>
            </w:r>
          </w:p>
        </w:tc>
        <w:tc>
          <w:tcPr>
            <w:tcW w:w="543" w:type="dxa"/>
          </w:tcPr>
          <w:p>
            <w:pPr>
              <w:tabs>
                <w:tab w:val="left" w:pos="142"/>
              </w:tabs>
              <w:spacing w:after="0" w:line="240" w:lineRule="auto"/>
              <w:ind w:right="39"/>
            </w:pPr>
            <w:r>
              <w:t>2-</w:t>
            </w:r>
          </w:p>
          <w:p>
            <w:pPr>
              <w:tabs>
                <w:tab w:val="left" w:pos="142"/>
              </w:tabs>
              <w:spacing w:after="0" w:line="240" w:lineRule="auto"/>
              <w:ind w:right="39"/>
            </w:pPr>
            <w:r>
              <w:t>5</w:t>
            </w:r>
          </w:p>
        </w:tc>
      </w:tr>
    </w:tbl>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r>
        <w:rPr>
          <w:rFonts w:ascii="Times New Roman" w:hAnsi="Times New Roman" w:cs="Times New Roman"/>
          <w:sz w:val="24"/>
          <w:szCs w:val="24"/>
        </w:rPr>
        <w:t>.</w:t>
      </w: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jc w:val="both"/>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jc w:val="both"/>
        <w:rPr>
          <w:rFonts w:hint="default" w:ascii="Times New Roman" w:hAnsi="Times New Roman" w:cs="Times New Roman"/>
          <w:sz w:val="24"/>
          <w:szCs w:val="24"/>
          <w:lang w:val="fr-FR"/>
        </w:rPr>
      </w:pPr>
      <w:r>
        <w:rPr>
          <w:rFonts w:ascii="Times New Roman" w:hAnsi="Times New Roman" w:cs="Times New Roman"/>
          <w:sz w:val="24"/>
          <w:szCs w:val="24"/>
        </w:rPr>
        <w:t xml:space="preserve">L’utilisation d’éléments avec des concentration définies (milieu SM) il donné des résultats positives pour l’explant de poivron. </w:t>
      </w:r>
      <w:r>
        <w:rPr>
          <w:rFonts w:hint="default" w:ascii="Times New Roman" w:hAnsi="Times New Roman" w:cs="Times New Roman"/>
          <w:sz w:val="24"/>
          <w:szCs w:val="24"/>
          <w:lang w:val="fr-FR"/>
        </w:rPr>
        <w:t>Figure 2</w:t>
      </w:r>
    </w:p>
    <w:p>
      <w:pPr>
        <w:tabs>
          <w:tab w:val="left" w:pos="142"/>
        </w:tabs>
        <w:spacing w:line="240" w:lineRule="auto"/>
        <w:ind w:right="39"/>
        <w:rPr>
          <w:rFonts w:ascii="Times New Roman" w:hAnsi="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230505</wp:posOffset>
                </wp:positionV>
                <wp:extent cx="3057525" cy="2085975"/>
                <wp:effectExtent l="4445" t="5080" r="5080" b="4445"/>
                <wp:wrapNone/>
                <wp:docPr id="7" name="Zone de texte 10"/>
                <wp:cNvGraphicFramePr/>
                <a:graphic xmlns:a="http://schemas.openxmlformats.org/drawingml/2006/main">
                  <a:graphicData uri="http://schemas.microsoft.com/office/word/2010/wordprocessingShape">
                    <wps:wsp>
                      <wps:cNvSpPr txBox="1"/>
                      <wps:spPr>
                        <a:xfrm>
                          <a:off x="3985895" y="5493385"/>
                          <a:ext cx="3057525" cy="20859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Times New Roman" w:hAnsi="Times New Roman" w:cs="Times New Roman"/>
                                <w:sz w:val="24"/>
                                <w:szCs w:val="24"/>
                              </w:rPr>
                              <w:drawing>
                                <wp:inline distT="0" distB="0" distL="114300" distR="114300">
                                  <wp:extent cx="2592070" cy="2726055"/>
                                  <wp:effectExtent l="0" t="0" r="17780" b="171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70" cy="2726055"/>
                                          </a:xfrm>
                                          <a:prstGeom prst="rect">
                                            <a:avLst/>
                                          </a:prstGeom>
                                        </pic:spPr>
                                      </pic:pic>
                                    </a:graphicData>
                                  </a:graphic>
                                </wp:inline>
                              </w:drawing>
                            </w:r>
                          </w:p>
                        </w:txbxContent>
                      </wps:txbx>
                      <wps:bodyPr vert="horz" anchor="t" anchorCtr="0" upright="1"/>
                    </wps:wsp>
                  </a:graphicData>
                </a:graphic>
              </wp:anchor>
            </w:drawing>
          </mc:Choice>
          <mc:Fallback>
            <w:pict>
              <v:shape id="Zone de texte 10" o:spid="_x0000_s1026" o:spt="202" type="#_x0000_t202" style="position:absolute;left:0pt;margin-left:5.6pt;margin-top:18.15pt;height:164.25pt;width:240.75pt;z-index:251664384;mso-width-relative:page;mso-height-relative:page;" fillcolor="#FFFFFF" filled="t" stroked="t" coordsize="21600,21600" o:gfxdata="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eMxrX&#10;AAAACQEAAA8AAAAAAAAAAQAgAAAAIgAAAGRycy9kb3ducmV2LnhtbFBLAQIUABQAAAAIAIdO4kAV&#10;UbKaIQIAAG0EAAAOAAAAAAAAAAEAIAAAACYBAABkcnMvZTJvRG9jLnhtbFBLBQYAAAAABgAGAFkB&#10;AAC5BQAAAAA=&#10;">
                <v:fill on="t" focussize="0,0"/>
                <v:stroke color="#000000" joinstyle="miter"/>
                <v:imagedata o:title=""/>
                <o:lock v:ext="edit" aspectratio="f"/>
                <v:textbox>
                  <w:txbxContent>
                    <w:p>
                      <w:r>
                        <w:rPr>
                          <w:rFonts w:ascii="Times New Roman" w:hAnsi="Times New Roman" w:cs="Times New Roman"/>
                          <w:sz w:val="24"/>
                          <w:szCs w:val="24"/>
                        </w:rPr>
                        <w:drawing>
                          <wp:inline distT="0" distB="0" distL="114300" distR="114300">
                            <wp:extent cx="2592070" cy="2726055"/>
                            <wp:effectExtent l="0" t="0" r="17780" b="171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70" cy="2726055"/>
                                    </a:xfrm>
                                    <a:prstGeom prst="rect">
                                      <a:avLst/>
                                    </a:prstGeom>
                                  </pic:spPr>
                                </pic:pic>
                              </a:graphicData>
                            </a:graphic>
                          </wp:inline>
                        </w:drawing>
                      </w:r>
                    </w:p>
                  </w:txbxContent>
                </v:textbox>
              </v:shape>
            </w:pict>
          </mc:Fallback>
        </mc:AlternateContent>
      </w: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rPr>
          <w:rFonts w:ascii="Times New Roman" w:hAnsi="Times New Roman" w:cs="Times New Roman"/>
          <w:sz w:val="24"/>
          <w:szCs w:val="24"/>
        </w:rPr>
      </w:pPr>
    </w:p>
    <w:p>
      <w:pPr>
        <w:tabs>
          <w:tab w:val="left" w:pos="142"/>
        </w:tabs>
        <w:spacing w:line="240" w:lineRule="auto"/>
        <w:ind w:right="39"/>
        <w:sectPr>
          <w:type w:val="continuous"/>
          <w:pgSz w:w="11906" w:h="16838"/>
          <w:pgMar w:top="720" w:right="720" w:bottom="720" w:left="720" w:header="708" w:footer="708" w:gutter="0"/>
          <w:cols w:equalWidth="0" w:num="2">
            <w:col w:w="5020" w:space="425"/>
            <w:col w:w="5020"/>
          </w:cols>
        </w:sectPr>
      </w:pPr>
    </w:p>
    <w:p>
      <w:pPr>
        <w:tabs>
          <w:tab w:val="left" w:pos="142"/>
        </w:tabs>
        <w:spacing w:line="240" w:lineRule="auto"/>
        <w:ind w:right="39"/>
        <w:jc w:val="both"/>
        <w:rPr>
          <w:sz w:val="24"/>
          <w:szCs w:val="24"/>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2098675</wp:posOffset>
                </wp:positionV>
                <wp:extent cx="2233930" cy="933450"/>
                <wp:effectExtent l="12700" t="12700" r="20320" b="25400"/>
                <wp:wrapNone/>
                <wp:docPr id="4" name="Rectangle 3"/>
                <wp:cNvGraphicFramePr/>
                <a:graphic xmlns:a="http://schemas.openxmlformats.org/drawingml/2006/main">
                  <a:graphicData uri="http://schemas.microsoft.com/office/word/2010/wordprocessingShape">
                    <wps:wsp>
                      <wps:cNvSpPr/>
                      <wps:spPr>
                        <a:xfrm>
                          <a:off x="0" y="0"/>
                          <a:ext cx="2233930" cy="933450"/>
                        </a:xfrm>
                        <a:prstGeom prst="rect">
                          <a:avLst/>
                        </a:prstGeom>
                        <a:solidFill>
                          <a:srgbClr val="FFFFFF"/>
                        </a:solidFill>
                        <a:ln w="25400" cap="flat" cmpd="sng">
                          <a:solidFill>
                            <a:srgbClr val="4F81BD"/>
                          </a:solidFill>
                          <a:prstDash val="solid"/>
                          <a:miter/>
                          <a:headEnd type="none" w="med" len="med"/>
                          <a:tailEnd type="none" w="med" len="med"/>
                        </a:ln>
                      </wps:spPr>
                      <wps:txbx>
                        <w:txbxContent>
                          <w:p>
                            <w:pPr>
                              <w:tabs>
                                <w:tab w:val="left" w:pos="142"/>
                              </w:tabs>
                              <w:spacing w:line="240" w:lineRule="auto"/>
                              <w:ind w:right="39"/>
                              <w:rPr>
                                <w:rFonts w:hint="default" w:asciiTheme="majorBidi" w:hAnsiTheme="majorBidi" w:cstheme="majorBidi"/>
                                <w:sz w:val="24"/>
                                <w:szCs w:val="24"/>
                                <w:lang w:val="fr-FR"/>
                              </w:rPr>
                            </w:pPr>
                            <w:r>
                              <w:rPr>
                                <w:rFonts w:asciiTheme="majorBidi" w:hAnsiTheme="majorBidi" w:cstheme="majorBidi"/>
                                <w:sz w:val="24"/>
                                <w:szCs w:val="24"/>
                              </w:rPr>
                              <w:t>Fig. 0</w:t>
                            </w:r>
                            <w:r>
                              <w:rPr>
                                <w:rFonts w:hint="default" w:asciiTheme="majorBidi" w:hAnsiTheme="majorBidi" w:cstheme="majorBidi"/>
                                <w:sz w:val="24"/>
                                <w:szCs w:val="24"/>
                                <w:lang w:val="fr-FR"/>
                              </w:rPr>
                              <w:t>1</w:t>
                            </w:r>
                            <w:r>
                              <w:rPr>
                                <w:rFonts w:asciiTheme="majorBidi" w:hAnsiTheme="majorBidi" w:cstheme="majorBidi"/>
                                <w:sz w:val="24"/>
                                <w:szCs w:val="24"/>
                              </w:rPr>
                              <w:t xml:space="preserve"> : la croissance de poivron après </w:t>
                            </w:r>
                            <w:r>
                              <w:rPr>
                                <w:rFonts w:hint="default" w:asciiTheme="majorBidi" w:hAnsiTheme="majorBidi" w:cstheme="majorBidi"/>
                                <w:sz w:val="24"/>
                                <w:szCs w:val="24"/>
                                <w:lang w:val="fr-FR"/>
                              </w:rPr>
                              <w:t>15</w:t>
                            </w:r>
                            <w:r>
                              <w:rPr>
                                <w:rFonts w:asciiTheme="majorBidi" w:hAnsiTheme="majorBidi" w:cstheme="majorBidi"/>
                                <w:sz w:val="24"/>
                                <w:szCs w:val="24"/>
                              </w:rPr>
                              <w:t xml:space="preserve"> jours</w:t>
                            </w:r>
                            <w:r>
                              <w:rPr>
                                <w:rFonts w:hint="default" w:asciiTheme="majorBidi" w:hAnsiTheme="majorBidi" w:cstheme="majorBidi"/>
                                <w:sz w:val="24"/>
                                <w:szCs w:val="24"/>
                                <w:lang w:val="fr-FR"/>
                              </w:rPr>
                              <w:t xml:space="preserve"> dans le milieu B5</w:t>
                            </w:r>
                          </w:p>
                          <w:p>
                            <w:pPr>
                              <w:jc w:val="center"/>
                            </w:pPr>
                          </w:p>
                        </w:txbxContent>
                      </wps:txbx>
                      <wps:bodyPr vert="horz" wrap="square" anchor="ctr" anchorCtr="0" upright="1"/>
                    </wps:wsp>
                  </a:graphicData>
                </a:graphic>
              </wp:anchor>
            </w:drawing>
          </mc:Choice>
          <mc:Fallback>
            <w:pict>
              <v:rect id="Rectangle 3" o:spid="_x0000_s1026" o:spt="1" style="position:absolute;left:0pt;margin-left:4.5pt;margin-top:165.25pt;height:73.5pt;width:175.9pt;z-index:251663360;v-text-anchor:middle;mso-width-relative:margin;mso-height-relative:margin;" fillcolor="#FFFFFF" filled="t" stroked="t" coordsize="21600,21600">
                <v:fill on="t" focussize="0,0"/>
                <v:stroke weight="2pt" color="#4F81BD" joinstyle="miter"/>
                <v:imagedata o:title=""/>
                <o:lock v:ext="edit" aspectratio="f"/>
                <v:textbox>
                  <w:txbxContent>
                    <w:p>
                      <w:pPr>
                        <w:tabs>
                          <w:tab w:val="left" w:pos="142"/>
                        </w:tabs>
                        <w:spacing w:line="240" w:lineRule="auto"/>
                        <w:ind w:right="39"/>
                        <w:rPr>
                          <w:rFonts w:hint="default" w:asciiTheme="majorBidi" w:hAnsiTheme="majorBidi" w:cstheme="majorBidi"/>
                          <w:sz w:val="24"/>
                          <w:szCs w:val="24"/>
                          <w:lang w:val="fr-FR"/>
                        </w:rPr>
                      </w:pPr>
                      <w:r>
                        <w:rPr>
                          <w:rFonts w:asciiTheme="majorBidi" w:hAnsiTheme="majorBidi" w:cstheme="majorBidi"/>
                          <w:sz w:val="24"/>
                          <w:szCs w:val="24"/>
                        </w:rPr>
                        <w:t>Fig. 0</w:t>
                      </w:r>
                      <w:r>
                        <w:rPr>
                          <w:rFonts w:hint="default" w:asciiTheme="majorBidi" w:hAnsiTheme="majorBidi" w:cstheme="majorBidi"/>
                          <w:sz w:val="24"/>
                          <w:szCs w:val="24"/>
                          <w:lang w:val="fr-FR"/>
                        </w:rPr>
                        <w:t>1</w:t>
                      </w:r>
                      <w:r>
                        <w:rPr>
                          <w:rFonts w:asciiTheme="majorBidi" w:hAnsiTheme="majorBidi" w:cstheme="majorBidi"/>
                          <w:sz w:val="24"/>
                          <w:szCs w:val="24"/>
                        </w:rPr>
                        <w:t xml:space="preserve"> : la croissance de poivron après </w:t>
                      </w:r>
                      <w:r>
                        <w:rPr>
                          <w:rFonts w:hint="default" w:asciiTheme="majorBidi" w:hAnsiTheme="majorBidi" w:cstheme="majorBidi"/>
                          <w:sz w:val="24"/>
                          <w:szCs w:val="24"/>
                          <w:lang w:val="fr-FR"/>
                        </w:rPr>
                        <w:t>15</w:t>
                      </w:r>
                      <w:r>
                        <w:rPr>
                          <w:rFonts w:asciiTheme="majorBidi" w:hAnsiTheme="majorBidi" w:cstheme="majorBidi"/>
                          <w:sz w:val="24"/>
                          <w:szCs w:val="24"/>
                        </w:rPr>
                        <w:t xml:space="preserve"> jours</w:t>
                      </w:r>
                      <w:r>
                        <w:rPr>
                          <w:rFonts w:hint="default" w:asciiTheme="majorBidi" w:hAnsiTheme="majorBidi" w:cstheme="majorBidi"/>
                          <w:sz w:val="24"/>
                          <w:szCs w:val="24"/>
                          <w:lang w:val="fr-FR"/>
                        </w:rPr>
                        <w:t xml:space="preserve"> dans le milieu B5</w:t>
                      </w:r>
                    </w:p>
                    <w:p>
                      <w:pPr>
                        <w:jc w:val="center"/>
                      </w:pPr>
                    </w:p>
                  </w:txbxContent>
                </v:textbox>
              </v:rect>
            </w:pict>
          </mc:Fallback>
        </mc:AlternateContent>
      </w:r>
      <w:r>
        <w:rPr>
          <w:rFonts w:ascii="Times New Roman" w:hAnsi="Times New Roman" w:cs="Times New Roman"/>
          <w:b/>
          <w:bCs/>
          <w:color w:val="000000" w:themeColor="text1"/>
        </w:rPr>
        <w:drawing>
          <wp:anchor distT="0" distB="0" distL="114300" distR="114300" simplePos="0" relativeHeight="251661312" behindDoc="0" locked="0" layoutInCell="1" allowOverlap="1">
            <wp:simplePos x="0" y="0"/>
            <wp:positionH relativeFrom="column">
              <wp:posOffset>-123825</wp:posOffset>
            </wp:positionH>
            <wp:positionV relativeFrom="paragraph">
              <wp:posOffset>-1076960</wp:posOffset>
            </wp:positionV>
            <wp:extent cx="2468245" cy="1978660"/>
            <wp:effectExtent l="0" t="0" r="8255" b="254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8245" cy="1978660"/>
                    </a:xfrm>
                    <a:prstGeom prst="rect">
                      <a:avLst/>
                    </a:prstGeom>
                  </pic:spPr>
                </pic:pic>
              </a:graphicData>
            </a:graphic>
          </wp:anchor>
        </w:drawing>
      </w: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b/>
          <w:sz w:val="28"/>
          <w:szCs w:val="28"/>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285750</wp:posOffset>
                </wp:positionH>
                <wp:positionV relativeFrom="paragraph">
                  <wp:posOffset>128905</wp:posOffset>
                </wp:positionV>
                <wp:extent cx="2233930" cy="933450"/>
                <wp:effectExtent l="12700" t="12700" r="20320" b="25400"/>
                <wp:wrapNone/>
                <wp:docPr id="9" name="Rectangle 11"/>
                <wp:cNvGraphicFramePr/>
                <a:graphic xmlns:a="http://schemas.openxmlformats.org/drawingml/2006/main">
                  <a:graphicData uri="http://schemas.microsoft.com/office/word/2010/wordprocessingShape">
                    <wps:wsp>
                      <wps:cNvSpPr/>
                      <wps:spPr>
                        <a:xfrm>
                          <a:off x="0" y="0"/>
                          <a:ext cx="2233930" cy="933450"/>
                        </a:xfrm>
                        <a:prstGeom prst="rect">
                          <a:avLst/>
                        </a:prstGeom>
                        <a:solidFill>
                          <a:srgbClr val="FFFFFF"/>
                        </a:solidFill>
                        <a:ln w="25400" cap="flat" cmpd="sng">
                          <a:solidFill>
                            <a:srgbClr val="4F81BD"/>
                          </a:solidFill>
                          <a:prstDash val="solid"/>
                          <a:miter/>
                          <a:headEnd type="none" w="med" len="med"/>
                          <a:tailEnd type="none" w="med" len="med"/>
                        </a:ln>
                      </wps:spPr>
                      <wps:txbx>
                        <w:txbxContent>
                          <w:p>
                            <w:pPr>
                              <w:tabs>
                                <w:tab w:val="left" w:pos="142"/>
                              </w:tabs>
                              <w:spacing w:line="240" w:lineRule="auto"/>
                              <w:ind w:right="39"/>
                              <w:rPr>
                                <w:rFonts w:hint="default" w:asciiTheme="majorBidi" w:hAnsiTheme="majorBidi" w:cstheme="majorBidi"/>
                                <w:sz w:val="24"/>
                                <w:szCs w:val="24"/>
                                <w:lang w:val="fr-FR"/>
                              </w:rPr>
                            </w:pPr>
                            <w:r>
                              <w:rPr>
                                <w:rFonts w:asciiTheme="majorBidi" w:hAnsiTheme="majorBidi" w:cstheme="majorBidi"/>
                                <w:sz w:val="24"/>
                                <w:szCs w:val="24"/>
                              </w:rPr>
                              <w:t>Fig. 0</w:t>
                            </w:r>
                            <w:r>
                              <w:rPr>
                                <w:rFonts w:hint="default" w:asciiTheme="majorBidi" w:hAnsiTheme="majorBidi" w:cstheme="majorBidi"/>
                                <w:sz w:val="24"/>
                                <w:szCs w:val="24"/>
                                <w:lang w:val="fr-FR"/>
                              </w:rPr>
                              <w:t>2</w:t>
                            </w:r>
                            <w:r>
                              <w:rPr>
                                <w:rFonts w:asciiTheme="majorBidi" w:hAnsiTheme="majorBidi" w:cstheme="majorBidi"/>
                                <w:sz w:val="24"/>
                                <w:szCs w:val="24"/>
                              </w:rPr>
                              <w:t xml:space="preserve"> : la croissance de poivron après </w:t>
                            </w:r>
                            <w:r>
                              <w:rPr>
                                <w:rFonts w:hint="default" w:asciiTheme="majorBidi" w:hAnsiTheme="majorBidi" w:cstheme="majorBidi"/>
                                <w:sz w:val="24"/>
                                <w:szCs w:val="24"/>
                                <w:lang w:val="fr-FR"/>
                              </w:rPr>
                              <w:t>15</w:t>
                            </w:r>
                            <w:r>
                              <w:rPr>
                                <w:rFonts w:asciiTheme="majorBidi" w:hAnsiTheme="majorBidi" w:cstheme="majorBidi"/>
                                <w:sz w:val="24"/>
                                <w:szCs w:val="24"/>
                              </w:rPr>
                              <w:t xml:space="preserve"> jours</w:t>
                            </w:r>
                            <w:r>
                              <w:rPr>
                                <w:rFonts w:hint="default" w:asciiTheme="majorBidi" w:hAnsiTheme="majorBidi" w:cstheme="majorBidi"/>
                                <w:sz w:val="24"/>
                                <w:szCs w:val="24"/>
                                <w:lang w:val="fr-FR"/>
                              </w:rPr>
                              <w:t xml:space="preserve"> dans le milieuMS</w:t>
                            </w:r>
                          </w:p>
                          <w:p>
                            <w:pPr>
                              <w:jc w:val="center"/>
                            </w:pPr>
                          </w:p>
                        </w:txbxContent>
                      </wps:txbx>
                      <wps:bodyPr anchor="ctr" anchorCtr="0" upright="1"/>
                    </wps:wsp>
                  </a:graphicData>
                </a:graphic>
              </wp:anchor>
            </w:drawing>
          </mc:Choice>
          <mc:Fallback>
            <w:pict>
              <v:rect id="Rectangle 11" o:spid="_x0000_s1026" o:spt="1" style="position:absolute;left:0pt;margin-left:22.5pt;margin-top:10.15pt;height:73.5pt;width:175.9pt;z-index:251666432;v-text-anchor:middle;mso-width-relative:margin;mso-height-relative:margin;" fillcolor="#FFFFFF" filled="t" stroked="t" coordsize="21600,21600" o:gfxdata="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6pVoNcAAAAJAQAADwAAAAAAAAABACAAAAAi&#10;AAAAZHJzL2Rvd25yZXYueG1sUEsBAhQAFAAAAAgAh07iQMKUMZELAgAASQQAAA4AAAAAAAAAAQAg&#10;AAAAJgEAAGRycy9lMm9Eb2MueG1sUEsFBgAAAAAGAAYAWQEAAKMFAAAAAA==&#10;">
                <v:fill on="t" focussize="0,0"/>
                <v:stroke weight="2pt" color="#4F81BD" joinstyle="miter"/>
                <v:imagedata o:title=""/>
                <o:lock v:ext="edit" aspectratio="f"/>
                <v:textbox>
                  <w:txbxContent>
                    <w:p>
                      <w:pPr>
                        <w:tabs>
                          <w:tab w:val="left" w:pos="142"/>
                        </w:tabs>
                        <w:spacing w:line="240" w:lineRule="auto"/>
                        <w:ind w:right="39"/>
                        <w:rPr>
                          <w:rFonts w:hint="default" w:asciiTheme="majorBidi" w:hAnsiTheme="majorBidi" w:cstheme="majorBidi"/>
                          <w:sz w:val="24"/>
                          <w:szCs w:val="24"/>
                          <w:lang w:val="fr-FR"/>
                        </w:rPr>
                      </w:pPr>
                      <w:r>
                        <w:rPr>
                          <w:rFonts w:asciiTheme="majorBidi" w:hAnsiTheme="majorBidi" w:cstheme="majorBidi"/>
                          <w:sz w:val="24"/>
                          <w:szCs w:val="24"/>
                        </w:rPr>
                        <w:t>Fig. 0</w:t>
                      </w:r>
                      <w:r>
                        <w:rPr>
                          <w:rFonts w:hint="default" w:asciiTheme="majorBidi" w:hAnsiTheme="majorBidi" w:cstheme="majorBidi"/>
                          <w:sz w:val="24"/>
                          <w:szCs w:val="24"/>
                          <w:lang w:val="fr-FR"/>
                        </w:rPr>
                        <w:t>2</w:t>
                      </w:r>
                      <w:r>
                        <w:rPr>
                          <w:rFonts w:asciiTheme="majorBidi" w:hAnsiTheme="majorBidi" w:cstheme="majorBidi"/>
                          <w:sz w:val="24"/>
                          <w:szCs w:val="24"/>
                        </w:rPr>
                        <w:t xml:space="preserve"> : la croissance de poivron après </w:t>
                      </w:r>
                      <w:r>
                        <w:rPr>
                          <w:rFonts w:hint="default" w:asciiTheme="majorBidi" w:hAnsiTheme="majorBidi" w:cstheme="majorBidi"/>
                          <w:sz w:val="24"/>
                          <w:szCs w:val="24"/>
                          <w:lang w:val="fr-FR"/>
                        </w:rPr>
                        <w:t>15</w:t>
                      </w:r>
                      <w:r>
                        <w:rPr>
                          <w:rFonts w:asciiTheme="majorBidi" w:hAnsiTheme="majorBidi" w:cstheme="majorBidi"/>
                          <w:sz w:val="24"/>
                          <w:szCs w:val="24"/>
                        </w:rPr>
                        <w:t xml:space="preserve"> jours</w:t>
                      </w:r>
                      <w:r>
                        <w:rPr>
                          <w:rFonts w:hint="default" w:asciiTheme="majorBidi" w:hAnsiTheme="majorBidi" w:cstheme="majorBidi"/>
                          <w:sz w:val="24"/>
                          <w:szCs w:val="24"/>
                          <w:lang w:val="fr-FR"/>
                        </w:rPr>
                        <w:t xml:space="preserve"> dans le milieuMS</w:t>
                      </w:r>
                    </w:p>
                    <w:p>
                      <w:pPr>
                        <w:jc w:val="center"/>
                      </w:pPr>
                    </w:p>
                  </w:txbxContent>
                </v:textbox>
              </v:rect>
            </w:pict>
          </mc:Fallback>
        </mc:AlternateContent>
      </w:r>
      <w:r>
        <w:rPr>
          <w:b/>
          <w:sz w:val="28"/>
          <w:szCs w:val="28"/>
        </w:rPr>
        <w:t> </w:t>
      </w:r>
    </w:p>
    <w:p>
      <w:pPr>
        <w:tabs>
          <w:tab w:val="left" w:pos="142"/>
        </w:tabs>
        <w:spacing w:line="240" w:lineRule="auto"/>
        <w:ind w:right="39"/>
        <w:jc w:val="both"/>
        <w:rPr>
          <w:b/>
          <w:sz w:val="28"/>
          <w:szCs w:val="28"/>
        </w:rPr>
      </w:pPr>
    </w:p>
    <w:p>
      <w:pPr>
        <w:tabs>
          <w:tab w:val="left" w:pos="142"/>
        </w:tabs>
        <w:spacing w:line="240" w:lineRule="auto"/>
        <w:ind w:right="39"/>
        <w:jc w:val="both"/>
        <w:rPr>
          <w:b/>
          <w:sz w:val="28"/>
          <w:szCs w:val="28"/>
        </w:rPr>
      </w:pPr>
    </w:p>
    <w:p>
      <w:pPr>
        <w:tabs>
          <w:tab w:val="left" w:pos="142"/>
        </w:tabs>
        <w:spacing w:line="240" w:lineRule="auto"/>
        <w:ind w:right="39"/>
        <w:jc w:val="both"/>
        <w:rPr>
          <w:b/>
          <w:sz w:val="28"/>
          <w:szCs w:val="28"/>
        </w:rPr>
      </w:pPr>
    </w:p>
    <w:p>
      <w:pPr>
        <w:tabs>
          <w:tab w:val="left" w:pos="142"/>
        </w:tabs>
        <w:spacing w:line="240" w:lineRule="auto"/>
        <w:ind w:right="39"/>
        <w:jc w:val="both"/>
        <w:rPr>
          <w:b/>
          <w:sz w:val="28"/>
          <w:szCs w:val="28"/>
        </w:rPr>
      </w:pPr>
    </w:p>
    <w:p>
      <w:pPr>
        <w:tabs>
          <w:tab w:val="left" w:pos="142"/>
        </w:tabs>
        <w:spacing w:line="240" w:lineRule="auto"/>
        <w:ind w:right="39"/>
        <w:jc w:val="both"/>
        <w:rPr>
          <w:b/>
          <w:sz w:val="28"/>
          <w:szCs w:val="28"/>
        </w:rPr>
      </w:pPr>
    </w:p>
    <w:p>
      <w:pPr>
        <w:tabs>
          <w:tab w:val="left" w:pos="142"/>
        </w:tabs>
        <w:spacing w:line="240" w:lineRule="auto"/>
        <w:ind w:right="39"/>
        <w:jc w:val="both"/>
        <w:rPr>
          <w:rFonts w:ascii="Times New Roman" w:hAnsi="Times New Roman" w:cs="Times New Roman"/>
          <w:b/>
          <w:bCs/>
          <w:sz w:val="28"/>
          <w:szCs w:val="28"/>
        </w:rPr>
      </w:pPr>
      <w:r>
        <w:rPr>
          <w:rFonts w:ascii="Times New Roman" w:hAnsi="Times New Roman" w:cs="Times New Roman"/>
          <w:b/>
          <w:bCs/>
          <w:sz w:val="28"/>
          <w:szCs w:val="28"/>
        </w:rPr>
        <w:t>Discussion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Dans expérience 01de poivron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on a observer il y’a une contaminations et les graines de poivron ne croissance pas (résultat négative), la contaminations peut-être causée par l’haire, les personnes ou bien Laboratoire ne pas spécifique, ou bien la dose des vitamine, et les Acide aminé ne pas exacte. </w:t>
      </w:r>
    </w:p>
    <w:p>
      <w:pPr>
        <w:tabs>
          <w:tab w:val="left" w:pos="142"/>
        </w:tabs>
        <w:spacing w:line="240" w:lineRule="auto"/>
        <w:ind w:right="39"/>
        <w:jc w:val="both"/>
        <w:rPr>
          <w:rFonts w:ascii="Times New Roman" w:hAnsi="Times New Roman" w:cs="Times New Roman"/>
          <w:b/>
          <w:bCs/>
          <w:sz w:val="24"/>
          <w:szCs w:val="24"/>
        </w:rPr>
      </w:pPr>
      <w:r>
        <w:rPr>
          <w:rFonts w:ascii="Times New Roman" w:hAnsi="Times New Roman" w:cs="Times New Roman"/>
          <w:sz w:val="24"/>
          <w:szCs w:val="24"/>
        </w:rPr>
        <w:t xml:space="preserve">La bonne élongation des tige dans le milieu ms est le résultat de la présence de N avec des concentration importantes, cet élément chimique et le constituent fondamental des matière vivant. La présence de K plus joue un rôle dans la élongation de tige et la production des matières vivantes comme il est signalé par </w:t>
      </w:r>
      <w:r>
        <w:rPr>
          <w:rFonts w:ascii="Times New Roman" w:hAnsi="Times New Roman" w:cs="Times New Roman"/>
          <w:b/>
          <w:bCs/>
          <w:sz w:val="24"/>
          <w:szCs w:val="24"/>
        </w:rPr>
        <w:t>skirfdj. (2007)</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Dans notre étude nous avons utilisé l’AIA comme auxine, cette hormone a marqué l’effet le plus faible d’enracinement dans les travaux de </w:t>
      </w:r>
      <w:r>
        <w:rPr>
          <w:rFonts w:ascii="Times New Roman" w:hAnsi="Times New Roman" w:cs="Times New Roman"/>
          <w:b/>
          <w:bCs/>
          <w:sz w:val="24"/>
          <w:szCs w:val="24"/>
        </w:rPr>
        <w:t>(Abousalim et al., 2005)</w:t>
      </w:r>
      <w:r>
        <w:rPr>
          <w:rFonts w:ascii="Times New Roman" w:hAnsi="Times New Roman" w:cs="Times New Roman"/>
          <w:sz w:val="24"/>
          <w:szCs w:val="24"/>
        </w:rPr>
        <w:t xml:space="preserve"> même avec un matériel très jeune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Dans expérience 02 de poivron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On a observer une croissance positive, et l’utilisation des éléments des concentration définies (milieu Ms) favorise la rhizogenese ils donnantdes résultat positives pour les graines de poivron. </w:t>
      </w:r>
    </w:p>
    <w:p>
      <w:pPr>
        <w:tabs>
          <w:tab w:val="left" w:pos="142"/>
        </w:tabs>
        <w:spacing w:line="240" w:lineRule="auto"/>
        <w:ind w:right="39"/>
        <w:jc w:val="both"/>
        <w:rPr>
          <w:rFonts w:ascii="Times New Roman" w:hAnsi="Times New Roman" w:cs="Times New Roman"/>
          <w:sz w:val="24"/>
          <w:szCs w:val="24"/>
        </w:rPr>
      </w:pPr>
      <w:r>
        <w:rPr>
          <w:rFonts w:ascii="Times New Roman" w:hAnsi="Times New Roman" w:cs="Times New Roman"/>
          <w:sz w:val="24"/>
          <w:szCs w:val="24"/>
        </w:rPr>
        <w:t xml:space="preserve">La composition du milieu de mise en culture joue un rôle très importantdans l’organogénèse. L’effet d’un milieu de culture résulte de l’ensembledes interactions des différents éléments qui le composent. Certains d’entre eux stimulent les processus du développement in vitro, d’autres, par contre, ont peu d’influence sur le débourré ment </w:t>
      </w:r>
      <w:r>
        <w:rPr>
          <w:rFonts w:ascii="Times New Roman" w:hAnsi="Times New Roman" w:cs="Times New Roman"/>
          <w:b/>
          <w:bCs/>
          <w:sz w:val="24"/>
          <w:szCs w:val="24"/>
        </w:rPr>
        <w:t>(Thorpe, 1980 ;Rugini, Caricato, 1995 ;Grigoriadou et al., 2002 ;Brhadda et al., 2003)</w:t>
      </w:r>
      <w:r>
        <w:rPr>
          <w:rFonts w:ascii="Times New Roman" w:hAnsi="Times New Roman" w:cs="Times New Roman"/>
          <w:sz w:val="24"/>
          <w:szCs w:val="24"/>
        </w:rPr>
        <w:t>.</w:t>
      </w:r>
    </w:p>
    <w:p>
      <w:pPr>
        <w:tabs>
          <w:tab w:val="left" w:pos="142"/>
        </w:tabs>
        <w:spacing w:line="240" w:lineRule="auto"/>
        <w:ind w:right="39"/>
        <w:jc w:val="both"/>
        <w:rPr>
          <w:rFonts w:ascii="Times New Roman" w:hAnsi="Times New Roman" w:cs="Times New Roman"/>
          <w:b/>
          <w:bCs/>
          <w:sz w:val="24"/>
          <w:szCs w:val="24"/>
        </w:rPr>
      </w:pPr>
      <w:r>
        <w:rPr>
          <w:rFonts w:ascii="Times New Roman" w:hAnsi="Times New Roman" w:cs="Times New Roman"/>
          <w:sz w:val="24"/>
          <w:szCs w:val="24"/>
        </w:rPr>
        <w:t xml:space="preserve">L’utilisation des protéines totale comme marqueurs biochimique pour marquer la sainteté des plantes cultivés par voie in vitro, on les compare avec les même variétés in vitro à étéégalement réalisée pour le poivron </w:t>
      </w:r>
      <w:r>
        <w:rPr>
          <w:rFonts w:ascii="Times New Roman" w:hAnsi="Times New Roman" w:cs="Times New Roman"/>
          <w:b/>
          <w:bCs/>
          <w:sz w:val="24"/>
          <w:szCs w:val="24"/>
        </w:rPr>
        <w:t>(collet et al., 1991)</w:t>
      </w:r>
    </w:p>
    <w:p>
      <w:pPr>
        <w:pStyle w:val="15"/>
        <w:shd w:val="clear" w:color="auto" w:fill="FFFFFF"/>
        <w:spacing w:after="360" w:afterAutospacing="0"/>
        <w:jc w:val="both"/>
        <w:rPr>
          <w:b/>
          <w:bCs/>
          <w:color w:val="000000" w:themeColor="text1"/>
        </w:rPr>
      </w:pPr>
      <w:r>
        <w:rPr>
          <w:color w:val="000000" w:themeColor="text1"/>
        </w:rPr>
        <w:t>Le poivron requiert une bonne luminosité, dans le cas contraire, le cycle végétatif poivron se raccourcit. Les </w:t>
      </w:r>
      <w:r>
        <w:rPr>
          <w:rStyle w:val="12"/>
          <w:color w:val="000000" w:themeColor="text1"/>
        </w:rPr>
        <w:t>Capsicum </w:t>
      </w:r>
      <w:r>
        <w:rPr>
          <w:color w:val="000000" w:themeColor="text1"/>
        </w:rPr>
        <w:t>sont des plantesde jours cours facultatifs, cela veut dire que la floraison se réalise mieux et est plus abondante en jours courts pourvu que la température et les facteurs climatiques soient adéquats. Les exigences photopériodiques varient de 12 à 15 heures </w:t>
      </w:r>
      <w:r>
        <w:rPr>
          <w:rStyle w:val="11"/>
          <w:color w:val="000000" w:themeColor="text1"/>
        </w:rPr>
        <w:t>(Valdez</w:t>
      </w:r>
      <w:r>
        <w:rPr>
          <w:color w:val="000000" w:themeColor="text1"/>
        </w:rPr>
        <w:t>,</w:t>
      </w:r>
      <w:r>
        <w:rPr>
          <w:b/>
          <w:bCs/>
          <w:color w:val="000000" w:themeColor="text1"/>
        </w:rPr>
        <w:t xml:space="preserve">1994) </w:t>
      </w:r>
    </w:p>
    <w:p>
      <w:pPr>
        <w:pStyle w:val="15"/>
        <w:shd w:val="clear" w:color="auto" w:fill="FFFFFF"/>
        <w:spacing w:after="360" w:afterAutospacing="0"/>
        <w:jc w:val="both"/>
        <w:rPr>
          <w:b/>
          <w:bCs/>
          <w:color w:val="000000" w:themeColor="text1"/>
        </w:rPr>
      </w:pPr>
      <w:r>
        <w:rPr>
          <w:sz w:val="24"/>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3985895</wp:posOffset>
                </wp:positionV>
                <wp:extent cx="3485515" cy="4230370"/>
                <wp:effectExtent l="5080" t="4445" r="14605" b="13335"/>
                <wp:wrapNone/>
                <wp:docPr id="10" name="Zone de texte 12"/>
                <wp:cNvGraphicFramePr/>
                <a:graphic xmlns:a="http://schemas.openxmlformats.org/drawingml/2006/main">
                  <a:graphicData uri="http://schemas.microsoft.com/office/word/2010/wordprocessingShape">
                    <wps:wsp>
                      <wps:cNvSpPr txBox="1"/>
                      <wps:spPr>
                        <a:xfrm>
                          <a:off x="3919220" y="5981065"/>
                          <a:ext cx="3485515" cy="4230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b/>
                                <w:bCs/>
                                <w:sz w:val="28"/>
                                <w:szCs w:val="28"/>
                              </w:rPr>
                            </w:pPr>
                            <w:r>
                              <w:rPr>
                                <w:rFonts w:ascii="Times New Roman" w:hAnsi="Times New Roman" w:cs="Times New Roman"/>
                                <w:b/>
                                <w:bCs/>
                                <w:sz w:val="28"/>
                                <w:szCs w:val="28"/>
                              </w:rPr>
                              <w:t>Conclusion :</w:t>
                            </w:r>
                          </w:p>
                          <w:p>
                            <w:pPr>
                              <w:rPr>
                                <w:rFonts w:ascii="Times New Roman" w:hAnsi="Times New Roman" w:cs="Times New Roman"/>
                                <w:b/>
                                <w:bCs/>
                                <w:sz w:val="24"/>
                                <w:szCs w:val="24"/>
                              </w:rPr>
                            </w:pPr>
                            <w:r>
                              <w:rPr>
                                <w:rFonts w:ascii="Times New Roman" w:hAnsi="Times New Roman" w:cs="Times New Roman"/>
                                <w:b/>
                                <w:bCs/>
                                <w:sz w:val="24"/>
                                <w:szCs w:val="24"/>
                              </w:rPr>
                              <w:t>La culture in vitro aussi appelé micropropagation est une technique visant à régénérer une plante entière à partir de cellules ou de tissus végétaux en milieu nutritif en utilisant des techniques modernes de culture cellulaires. Le poivron c’est une plante annuelle présente sur tous les continents l’espèce est très prisée c’est un culture très rentable mais très sensible à l’attaque de nombreux ravageurs. La non maîtrise des techniques de production fait que la plupart des productions n’en tirent pas maximum profit.</w:t>
                            </w:r>
                          </w:p>
                          <w:p>
                            <w:pPr>
                              <w:rPr>
                                <w:rFonts w:ascii="Times New Roman" w:hAnsi="Times New Roman" w:cs="Times New Roman"/>
                                <w:b/>
                                <w:bCs/>
                                <w:sz w:val="24"/>
                                <w:szCs w:val="24"/>
                              </w:rPr>
                            </w:pPr>
                            <w:r>
                              <w:rPr>
                                <w:rFonts w:ascii="Times New Roman" w:hAnsi="Times New Roman" w:cs="Times New Roman"/>
                                <w:b/>
                                <w:bCs/>
                                <w:sz w:val="24"/>
                                <w:szCs w:val="24"/>
                              </w:rPr>
                              <w:t>Les cellules des plantes ont la capacité de régénérer ou organisme complet. Par conséquent on sait que l’apport d’hormones en quantité appropriées dans un milieu où croissant des cellules plus ou moins différentes déclencher la formation d’orange selon la proportion d’auxin</w:t>
                            </w:r>
                            <w:r>
                              <w:rPr>
                                <w:rFonts w:hint="default" w:ascii="Times New Roman" w:hAnsi="Times New Roman" w:cs="Times New Roman"/>
                                <w:b/>
                                <w:bCs/>
                                <w:sz w:val="24"/>
                                <w:szCs w:val="24"/>
                                <w:lang w:val="fr-FR"/>
                              </w:rPr>
                              <w:t xml:space="preserve"> </w:t>
                            </w:r>
                            <w:r>
                              <w:rPr>
                                <w:rFonts w:ascii="Times New Roman" w:hAnsi="Times New Roman" w:cs="Times New Roman"/>
                                <w:b/>
                                <w:bCs/>
                                <w:sz w:val="24"/>
                                <w:szCs w:val="24"/>
                              </w:rPr>
                              <w:t xml:space="preserve">et de cytokinine. </w:t>
                            </w:r>
                          </w:p>
                          <w:p/>
                        </w:txbxContent>
                      </wps:txbx>
                      <wps:bodyPr vert="horz" anchor="t" anchorCtr="0" upright="1"/>
                    </wps:wsp>
                  </a:graphicData>
                </a:graphic>
              </wp:anchor>
            </w:drawing>
          </mc:Choice>
          <mc:Fallback>
            <w:pict>
              <v:shape id="Zone de texte 12" o:spid="_x0000_s1026" o:spt="202" type="#_x0000_t202" style="position:absolute;left:0pt;margin-left:-4.85pt;margin-top:313.85pt;height:333.1pt;width:274.45pt;z-index:251662336;mso-width-relative:page;mso-height-relative:page;" fillcolor="#FFFFFF" filled="t" stroked="t" coordsize="21600,21600" o:gfxdata="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mejrdoAAAALAQAADwAAAAAAAAABACAAAAAiAAAAZHJzL2Rvd25yZXYueG1sUEsBAhQAFAAAAAgA&#10;h07iQN6KgnYjAgAAbgQAAA4AAAAAAAAAAQAgAAAAKQEAAGRycy9lMm9Eb2MueG1sUEsFBgAAAAAG&#10;AAYAWQEAAL4FAAAAAA==&#10;">
                <v:fill on="t" focussize="0,0"/>
                <v:stroke color="#000000" joinstyle="miter"/>
                <v:imagedata o:title=""/>
                <o:lock v:ext="edit" aspectratio="f"/>
                <v:textbox>
                  <w:txbxContent>
                    <w:p>
                      <w:pPr>
                        <w:rPr>
                          <w:rFonts w:ascii="Times New Roman" w:hAnsi="Times New Roman" w:cs="Times New Roman"/>
                          <w:b/>
                          <w:bCs/>
                          <w:sz w:val="28"/>
                          <w:szCs w:val="28"/>
                        </w:rPr>
                      </w:pPr>
                      <w:r>
                        <w:rPr>
                          <w:rFonts w:ascii="Times New Roman" w:hAnsi="Times New Roman" w:cs="Times New Roman"/>
                          <w:b/>
                          <w:bCs/>
                          <w:sz w:val="28"/>
                          <w:szCs w:val="28"/>
                        </w:rPr>
                        <w:t>Conclusion :</w:t>
                      </w:r>
                    </w:p>
                    <w:p>
                      <w:pPr>
                        <w:rPr>
                          <w:rFonts w:ascii="Times New Roman" w:hAnsi="Times New Roman" w:cs="Times New Roman"/>
                          <w:b/>
                          <w:bCs/>
                          <w:sz w:val="24"/>
                          <w:szCs w:val="24"/>
                        </w:rPr>
                      </w:pPr>
                      <w:r>
                        <w:rPr>
                          <w:rFonts w:ascii="Times New Roman" w:hAnsi="Times New Roman" w:cs="Times New Roman"/>
                          <w:b/>
                          <w:bCs/>
                          <w:sz w:val="24"/>
                          <w:szCs w:val="24"/>
                        </w:rPr>
                        <w:t>La culture in vitro aussi appelé micropropagation est une technique visant à régénérer une plante entière à partir de cellules ou de tissus végétaux en milieu nutritif en utilisant des techniques modernes de culture cellulaires. Le poivron c’est une plante annuelle présente sur tous les continents l’espèce est très prisée c’est un culture très rentable mais très sensible à l’attaque de nombreux ravageurs. La non maîtrise des techniques de production fait que la plupart des productions n’en tirent pas maximum profit.</w:t>
                      </w:r>
                    </w:p>
                    <w:p>
                      <w:pPr>
                        <w:rPr>
                          <w:rFonts w:ascii="Times New Roman" w:hAnsi="Times New Roman" w:cs="Times New Roman"/>
                          <w:b/>
                          <w:bCs/>
                          <w:sz w:val="24"/>
                          <w:szCs w:val="24"/>
                        </w:rPr>
                      </w:pPr>
                      <w:r>
                        <w:rPr>
                          <w:rFonts w:ascii="Times New Roman" w:hAnsi="Times New Roman" w:cs="Times New Roman"/>
                          <w:b/>
                          <w:bCs/>
                          <w:sz w:val="24"/>
                          <w:szCs w:val="24"/>
                        </w:rPr>
                        <w:t>Les cellules des plantes ont la capacité de régénérer ou organisme complet. Par conséquent on sait que l’apport d’hormones en quantité appropriées dans un milieu où croissant des cellules plus ou moins différentes déclencher la formation d’orange selon la proportion d’auxin</w:t>
                      </w:r>
                      <w:r>
                        <w:rPr>
                          <w:rFonts w:hint="default" w:ascii="Times New Roman" w:hAnsi="Times New Roman" w:cs="Times New Roman"/>
                          <w:b/>
                          <w:bCs/>
                          <w:sz w:val="24"/>
                          <w:szCs w:val="24"/>
                          <w:lang w:val="fr-FR"/>
                        </w:rPr>
                        <w:t xml:space="preserve"> </w:t>
                      </w:r>
                      <w:r>
                        <w:rPr>
                          <w:rFonts w:ascii="Times New Roman" w:hAnsi="Times New Roman" w:cs="Times New Roman"/>
                          <w:b/>
                          <w:bCs/>
                          <w:sz w:val="24"/>
                          <w:szCs w:val="24"/>
                        </w:rPr>
                        <w:t xml:space="preserve">et de cytokinine. </w:t>
                      </w:r>
                    </w:p>
                    <w:p/>
                  </w:txbxContent>
                </v:textbox>
              </v:shape>
            </w:pict>
          </mc:Fallback>
        </mc:AlternateContent>
      </w:r>
      <w:r>
        <w:rPr>
          <w:color w:val="000000" w:themeColor="text1"/>
        </w:rPr>
        <w:t>Une plante exigeante en chaleur, son optimum de croissance se situe à 24°C; la croissance de la plante se ralentit à des températures inférieures à 13 °C; mais une plante très sensible aux températures basses. Les températures supérieures à 35°C réduisent la fructification et la photosynthèse. </w:t>
      </w:r>
      <w:r>
        <w:rPr>
          <w:rStyle w:val="11"/>
          <w:color w:val="000000" w:themeColor="text1"/>
        </w:rPr>
        <w:t>(Chaux.,</w:t>
      </w:r>
      <w:r>
        <w:rPr>
          <w:rStyle w:val="11"/>
          <w:b w:val="0"/>
          <w:bCs w:val="0"/>
          <w:color w:val="000000" w:themeColor="text1"/>
        </w:rPr>
        <w:t> </w:t>
      </w:r>
      <w:r>
        <w:rPr>
          <w:b/>
          <w:bCs/>
          <w:color w:val="000000" w:themeColor="text1"/>
        </w:rPr>
        <w:t>1994</w:t>
      </w:r>
      <w:r>
        <w:rPr>
          <w:rStyle w:val="11"/>
          <w:b w:val="0"/>
          <w:bCs w:val="0"/>
          <w:color w:val="000000" w:themeColor="text1"/>
        </w:rPr>
        <w:t>)</w:t>
      </w:r>
      <w:r>
        <w:rPr>
          <w:rStyle w:val="11"/>
          <w:rFonts w:hint="default"/>
          <w:b w:val="0"/>
          <w:bCs w:val="0"/>
          <w:color w:val="000000" w:themeColor="text1"/>
          <w:lang w:val="fr-FR"/>
        </w:rPr>
        <w:t xml:space="preserve"> </w:t>
      </w:r>
      <w:r>
        <w:rPr>
          <w:rStyle w:val="11"/>
          <w:b w:val="0"/>
          <w:bCs w:val="0"/>
          <w:color w:val="000000" w:themeColor="text1"/>
        </w:rPr>
        <w:t xml:space="preserve">Aussi le milieu Ms est caractère par le présence des teneur élevées en ions k Mg comparativement aux autres milieux testés, l’effet bénéficie de ces ions à signalé par certains auteurs </w:t>
      </w:r>
      <w:r>
        <w:rPr>
          <w:rStyle w:val="11"/>
          <w:color w:val="000000" w:themeColor="text1"/>
        </w:rPr>
        <w:t>(David et al., 1978; Bormmau, 1983 et Margara., 1978)</w:t>
      </w:r>
      <w:r>
        <w:rPr>
          <w:rStyle w:val="11"/>
          <w:b w:val="0"/>
          <w:bCs w:val="0"/>
          <w:color w:val="000000" w:themeColor="text1"/>
        </w:rPr>
        <w:t xml:space="preserve">. Ces ions sont connus pour favoriser la croissance des plants. </w:t>
      </w:r>
      <w:r>
        <w:rPr>
          <w:rStyle w:val="11"/>
          <w:rFonts w:hint="default"/>
          <w:b w:val="0"/>
          <w:bCs w:val="0"/>
          <w:color w:val="000000" w:themeColor="text1"/>
          <w:lang w:val="fr-FR"/>
        </w:rPr>
        <w:t xml:space="preserve"> </w:t>
      </w:r>
      <w:r>
        <w:rPr>
          <w:rStyle w:val="11"/>
          <w:b w:val="0"/>
          <w:bCs w:val="0"/>
          <w:color w:val="000000" w:themeColor="text1"/>
        </w:rPr>
        <w:t>Le rôle très important du rapport azote / hydrate de carbone dans le contrôle de la biosynthèse des régulateur de croissance dans les tissus indifférenciés chez Nictiana plumbaginifolia et à singale que les nitrates assurent d’autres fonctions encore inconnue dans la morphologie et comme nous avons assuré le carboneavec les mêmes concentration dans les deux milieux, on peut dire que c’est la concentration du nitrate qui a donné cette différences.</w:t>
      </w:r>
      <w:r>
        <w:rPr>
          <w:rStyle w:val="11"/>
          <w:color w:val="000000" w:themeColor="text1"/>
        </w:rPr>
        <w:t>(ça bêche,1987)</w:t>
      </w: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sectPr>
          <w:type w:val="continuous"/>
          <w:pgSz w:w="11906" w:h="16838"/>
          <w:pgMar w:top="720" w:right="720" w:bottom="720" w:left="720" w:header="708" w:footer="708" w:gutter="0"/>
          <w:cols w:equalWidth="0" w:num="2">
            <w:col w:w="5020" w:space="425"/>
            <w:col w:w="5020"/>
          </w:cols>
        </w:sect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rFonts w:ascii="Times New Roman" w:hAnsi="Times New Roman" w:cs="Times New Roman"/>
          <w:b/>
          <w:sz w:val="28"/>
          <w:szCs w:val="28"/>
        </w:rPr>
      </w:pPr>
      <w:r>
        <w:rPr>
          <w:rFonts w:ascii="Times New Roman" w:hAnsi="Times New Roman" w:cs="Times New Roman"/>
          <w:b/>
          <w:sz w:val="28"/>
          <w:szCs w:val="28"/>
        </w:rPr>
        <w:t>Bibliographiques :</w:t>
      </w:r>
    </w:p>
    <w:p>
      <w:pPr>
        <w:numPr>
          <w:ilvl w:val="0"/>
          <w:numId w:val="1"/>
        </w:numPr>
        <w:shd w:val="clear" w:color="auto" w:fill="FFFFFF"/>
        <w:spacing w:after="0" w:line="240" w:lineRule="auto"/>
        <w:textAlignment w:val="baseline"/>
        <w:rPr>
          <w:rStyle w:val="23"/>
          <w:rFonts w:ascii="Times New Roman" w:hAnsi="Times New Roman" w:eastAsia="Times New Roman" w:cs="Times New Roman"/>
          <w:color w:val="202122"/>
          <w:sz w:val="24"/>
          <w:szCs w:val="24"/>
        </w:rPr>
      </w:pPr>
      <w:r>
        <w:fldChar w:fldCharType="begin"/>
      </w:r>
      <w:r>
        <w:instrText xml:space="preserve"> HYPERLINK "https://www.inrae.fr/actualites/abc-techniques-culture-vitro" </w:instrText>
      </w:r>
      <w:r>
        <w:fldChar w:fldCharType="separate"/>
      </w:r>
      <w:r>
        <w:rPr>
          <w:rStyle w:val="10"/>
          <w:rFonts w:ascii="Times New Roman" w:hAnsi="Times New Roman" w:eastAsia="Times New Roman" w:cs="Times New Roman"/>
          <w:i w:val="0"/>
          <w:iCs w:val="0"/>
          <w:color w:val="000000" w:themeColor="text1"/>
          <w:sz w:val="24"/>
          <w:szCs w:val="24"/>
        </w:rPr>
        <w:t>ABC des techniques de culture in vitro</w:t>
      </w:r>
      <w:r>
        <w:rPr>
          <w:rStyle w:val="9"/>
          <w:rFonts w:ascii="Times New Roman" w:hAnsi="Times New Roman" w:eastAsia="Times New Roman" w:cs="Times New Roman"/>
          <w:i/>
          <w:iCs/>
          <w:color w:val="000000" w:themeColor="text1"/>
          <w:sz w:val="24"/>
          <w:szCs w:val="24"/>
        </w:rPr>
        <w:t> »</w:t>
      </w:r>
      <w:r>
        <w:rPr>
          <w:rStyle w:val="9"/>
          <w:rFonts w:ascii="Times New Roman" w:hAnsi="Times New Roman" w:eastAsia="Times New Roman" w:cs="Times New Roman"/>
          <w:i/>
          <w:iCs/>
          <w:color w:val="000000" w:themeColor="text1"/>
          <w:sz w:val="24"/>
          <w:szCs w:val="24"/>
        </w:rPr>
        <w:fldChar w:fldCharType="end"/>
      </w:r>
      <w:r>
        <w:rPr>
          <w:rStyle w:val="23"/>
          <w:rFonts w:ascii="Times New Roman" w:hAnsi="Times New Roman" w:eastAsia="Times New Roman" w:cs="Times New Roman"/>
          <w:color w:val="000000" w:themeColor="text1"/>
          <w:sz w:val="24"/>
          <w:szCs w:val="24"/>
        </w:rPr>
        <w:t> [</w:t>
      </w:r>
      <w:r>
        <w:fldChar w:fldCharType="begin"/>
      </w:r>
      <w:r>
        <w:instrText xml:space="preserve"> HYPERLINK "https://archive.wikiwix.com/cache/?url=https%3A%2F%2Fwww.inrae.fr%2Factualites%2Fabc-techniques-culture-vitro" \o "archive sur Wikiwix" </w:instrText>
      </w:r>
      <w:r>
        <w:fldChar w:fldCharType="separate"/>
      </w:r>
      <w:r>
        <w:rPr>
          <w:rStyle w:val="9"/>
          <w:rFonts w:ascii="Times New Roman" w:hAnsi="Times New Roman" w:eastAsia="Times New Roman" w:cs="Times New Roman"/>
          <w:color w:val="000000" w:themeColor="text1"/>
          <w:sz w:val="24"/>
          <w:szCs w:val="24"/>
        </w:rPr>
        <w:t>archive</w:t>
      </w:r>
      <w:r>
        <w:rPr>
          <w:rStyle w:val="9"/>
          <w:rFonts w:ascii="Times New Roman" w:hAnsi="Times New Roman" w:eastAsia="Times New Roman" w:cs="Times New Roman"/>
          <w:color w:val="000000" w:themeColor="text1"/>
          <w:sz w:val="24"/>
          <w:szCs w:val="24"/>
        </w:rPr>
        <w:fldChar w:fldCharType="end"/>
      </w:r>
      <w:r>
        <w:rPr>
          <w:rStyle w:val="23"/>
          <w:rFonts w:ascii="Times New Roman" w:hAnsi="Times New Roman" w:eastAsia="Times New Roman" w:cs="Times New Roman"/>
          <w:color w:val="202122"/>
          <w:sz w:val="24"/>
          <w:szCs w:val="24"/>
        </w:rPr>
        <w:t>], sur </w:t>
      </w:r>
      <w:r>
        <w:rPr>
          <w:rStyle w:val="24"/>
          <w:rFonts w:ascii="Times New Roman" w:hAnsi="Times New Roman" w:eastAsia="Times New Roman" w:cs="Times New Roman"/>
          <w:color w:val="202122"/>
          <w:sz w:val="24"/>
          <w:szCs w:val="24"/>
        </w:rPr>
        <w:t>INRAEInstitutionnel</w:t>
      </w:r>
      <w:r>
        <w:rPr>
          <w:rStyle w:val="23"/>
          <w:rFonts w:ascii="Times New Roman" w:hAnsi="Times New Roman" w:eastAsia="Times New Roman" w:cs="Times New Roman"/>
          <w:color w:val="202122"/>
          <w:sz w:val="24"/>
          <w:szCs w:val="24"/>
        </w:rPr>
        <w:t xml:space="preserve"> (consulté le 7 janvier 2022) </w:t>
      </w:r>
    </w:p>
    <w:p>
      <w:pPr>
        <w:numPr>
          <w:ilvl w:val="0"/>
          <w:numId w:val="1"/>
        </w:numPr>
        <w:shd w:val="clear" w:color="auto" w:fill="FFFFFF"/>
        <w:spacing w:after="0" w:afterAutospacing="1" w:line="240" w:lineRule="auto"/>
        <w:textAlignment w:val="baseline"/>
        <w:rPr>
          <w:rStyle w:val="23"/>
          <w:rFonts w:ascii="Times New Roman" w:hAnsi="Times New Roman" w:eastAsia="Times New Roman" w:cs="Times New Roman"/>
          <w:color w:val="202122"/>
          <w:sz w:val="24"/>
          <w:szCs w:val="24"/>
        </w:rPr>
      </w:pPr>
      <w:r>
        <w:rPr>
          <w:rStyle w:val="23"/>
          <w:rFonts w:ascii="Times New Roman" w:hAnsi="Times New Roman" w:eastAsia="Times New Roman" w:cs="Times New Roman"/>
          <w:color w:val="202122"/>
          <w:sz w:val="24"/>
          <w:szCs w:val="24"/>
        </w:rPr>
        <w:t>Arman </w:t>
      </w:r>
      <w:r>
        <w:rPr>
          <w:rStyle w:val="25"/>
          <w:rFonts w:ascii="Times New Roman" w:hAnsi="Times New Roman" w:eastAsia="Times New Roman" w:cs="Times New Roman"/>
          <w:color w:val="202122"/>
          <w:sz w:val="24"/>
          <w:szCs w:val="24"/>
        </w:rPr>
        <w:t>Pazuki</w:t>
      </w:r>
      <w:r>
        <w:rPr>
          <w:rStyle w:val="23"/>
          <w:rFonts w:ascii="Times New Roman" w:hAnsi="Times New Roman" w:eastAsia="Times New Roman" w:cs="Times New Roman"/>
          <w:color w:val="202122"/>
          <w:sz w:val="24"/>
          <w:szCs w:val="24"/>
        </w:rPr>
        <w:t> et Mehdi </w:t>
      </w:r>
      <w:r>
        <w:rPr>
          <w:rStyle w:val="25"/>
          <w:rFonts w:ascii="Times New Roman" w:hAnsi="Times New Roman" w:eastAsia="Times New Roman" w:cs="Times New Roman"/>
          <w:color w:val="202122"/>
          <w:sz w:val="24"/>
          <w:szCs w:val="24"/>
        </w:rPr>
        <w:t>Sohani</w:t>
      </w:r>
      <w:r>
        <w:rPr>
          <w:rStyle w:val="23"/>
          <w:rFonts w:ascii="Times New Roman" w:hAnsi="Times New Roman" w:eastAsia="Times New Roman" w:cs="Times New Roman"/>
          <w:color w:val="202122"/>
          <w:sz w:val="24"/>
          <w:szCs w:val="24"/>
        </w:rPr>
        <w:t>, « </w:t>
      </w:r>
      <w:r>
        <w:rPr>
          <w:rStyle w:val="10"/>
          <w:rFonts w:ascii="Times New Roman" w:hAnsi="Times New Roman" w:eastAsia="Times New Roman" w:cs="Times New Roman"/>
          <w:i w:val="0"/>
          <w:iCs w:val="0"/>
          <w:color w:val="202122"/>
          <w:sz w:val="24"/>
          <w:szCs w:val="24"/>
        </w:rPr>
        <w:t>Phenotypic evaluation of scutellum-derived calluses in ‘Indica’ rice cultivars</w:t>
      </w:r>
      <w:r>
        <w:rPr>
          <w:rStyle w:val="23"/>
          <w:rFonts w:ascii="Times New Roman" w:hAnsi="Times New Roman" w:eastAsia="Times New Roman" w:cs="Times New Roman"/>
          <w:color w:val="202122"/>
          <w:sz w:val="24"/>
          <w:szCs w:val="24"/>
        </w:rPr>
        <w:t> », Acta Agriculturae Slovenica, vol. 101, n</w:t>
      </w:r>
      <w:r>
        <w:rPr>
          <w:rStyle w:val="23"/>
          <w:rFonts w:ascii="Times New Roman" w:hAnsi="Times New Roman" w:eastAsia="Times New Roman" w:cs="Times New Roman"/>
          <w:color w:val="202122"/>
          <w:sz w:val="24"/>
          <w:szCs w:val="24"/>
          <w:vertAlign w:val="superscript"/>
        </w:rPr>
        <w:t>o</w:t>
      </w:r>
      <w:r>
        <w:rPr>
          <w:rStyle w:val="23"/>
          <w:rFonts w:ascii="Times New Roman" w:hAnsi="Times New Roman" w:eastAsia="Times New Roman" w:cs="Times New Roman"/>
          <w:color w:val="202122"/>
          <w:sz w:val="24"/>
          <w:szCs w:val="24"/>
        </w:rPr>
        <w:t> 2,</w:t>
      </w:r>
      <w:r>
        <w:rPr>
          <w:rStyle w:val="23"/>
          <w:rFonts w:ascii="Times New Roman" w:hAnsi="Times New Roman" w:eastAsia="Times New Roman" w:cs="Times New Roman"/>
          <w:color w:val="202122"/>
          <w:sz w:val="24"/>
          <w:szCs w:val="24"/>
          <w:cs/>
        </w:rPr>
        <w:t>‎</w:t>
      </w:r>
      <w:r>
        <w:rPr>
          <w:rStyle w:val="23"/>
          <w:rFonts w:ascii="Times New Roman" w:hAnsi="Times New Roman" w:eastAsia="Times New Roman" w:cs="Times New Roman"/>
          <w:color w:val="202122"/>
          <w:sz w:val="24"/>
          <w:szCs w:val="24"/>
          <w:rtl/>
          <w:cs/>
        </w:rPr>
        <w:t> </w:t>
      </w:r>
      <w:r>
        <w:rPr>
          <w:rStyle w:val="23"/>
          <w:rFonts w:ascii="Times New Roman" w:hAnsi="Times New Roman" w:eastAsia="Times New Roman" w:cs="Times New Roman"/>
          <w:color w:val="202122"/>
          <w:sz w:val="24"/>
          <w:szCs w:val="24"/>
          <w:cs/>
        </w:rPr>
        <w:t>2013</w:t>
      </w:r>
      <w:r>
        <w:rPr>
          <w:rStyle w:val="23"/>
          <w:rFonts w:ascii="Times New Roman" w:hAnsi="Times New Roman" w:eastAsia="Times New Roman" w:cs="Times New Roman"/>
          <w:color w:val="202122"/>
          <w:sz w:val="24"/>
          <w:szCs w:val="24"/>
          <w:rtl/>
          <w:cs/>
        </w:rPr>
        <w:t>, </w:t>
      </w:r>
      <w:r>
        <w:rPr>
          <w:rStyle w:val="23"/>
          <w:rFonts w:ascii="Times New Roman" w:hAnsi="Times New Roman" w:eastAsia="Times New Roman" w:cs="Times New Roman"/>
          <w:color w:val="202122"/>
          <w:sz w:val="24"/>
          <w:szCs w:val="24"/>
          <w:cs/>
        </w:rPr>
        <w:t>p</w:t>
      </w:r>
      <w:r>
        <w:rPr>
          <w:rStyle w:val="23"/>
          <w:rFonts w:ascii="Times New Roman" w:hAnsi="Times New Roman" w:eastAsia="Times New Roman" w:cs="Times New Roman"/>
          <w:color w:val="202122"/>
          <w:sz w:val="24"/>
          <w:szCs w:val="24"/>
          <w:rtl/>
          <w:cs/>
        </w:rPr>
        <w:t>.</w:t>
      </w:r>
      <w:r>
        <w:rPr>
          <w:rStyle w:val="23"/>
          <w:rFonts w:ascii="Times New Roman" w:hAnsi="Times New Roman" w:eastAsia="Times New Roman" w:cs="Times New Roman"/>
          <w:color w:val="202122"/>
          <w:sz w:val="24"/>
          <w:szCs w:val="24"/>
          <w:cs/>
        </w:rPr>
        <w:t> </w:t>
      </w:r>
      <w:r>
        <w:rPr>
          <w:rStyle w:val="23"/>
          <w:rFonts w:ascii="Times New Roman" w:hAnsi="Times New Roman" w:eastAsia="Times New Roman" w:cs="Times New Roman"/>
          <w:color w:val="202122"/>
          <w:sz w:val="24"/>
          <w:szCs w:val="24"/>
          <w:rtl/>
          <w:cs/>
        </w:rPr>
        <w:t>239</w:t>
      </w:r>
      <w:r>
        <w:rPr>
          <w:rStyle w:val="23"/>
          <w:rFonts w:ascii="Times New Roman" w:hAnsi="Times New Roman" w:eastAsia="Times New Roman" w:cs="Times New Roman"/>
          <w:color w:val="202122"/>
          <w:sz w:val="24"/>
          <w:szCs w:val="24"/>
          <w:cs/>
        </w:rPr>
        <w:t>–</w:t>
      </w:r>
      <w:r>
        <w:rPr>
          <w:rStyle w:val="23"/>
          <w:rFonts w:ascii="Times New Roman" w:hAnsi="Times New Roman" w:eastAsia="Times New Roman" w:cs="Times New Roman"/>
          <w:color w:val="202122"/>
          <w:sz w:val="24"/>
          <w:szCs w:val="24"/>
          <w:rtl/>
          <w:cs/>
        </w:rPr>
        <w:t>247</w:t>
      </w:r>
      <w:r>
        <w:rPr>
          <w:rStyle w:val="23"/>
          <w:rFonts w:ascii="Times New Roman" w:hAnsi="Times New Roman" w:eastAsia="Times New Roman" w:cs="Times New Roman"/>
          <w:color w:val="202122"/>
          <w:sz w:val="24"/>
          <w:szCs w:val="24"/>
          <w:cs/>
        </w:rPr>
        <w:t> </w:t>
      </w:r>
      <w:r>
        <w:rPr>
          <w:rStyle w:val="23"/>
          <w:rFonts w:ascii="Times New Roman" w:hAnsi="Times New Roman" w:eastAsia="Times New Roman" w:cs="Times New Roman"/>
          <w:color w:val="000000" w:themeColor="text1"/>
          <w:sz w:val="24"/>
          <w:szCs w:val="24"/>
        </w:rPr>
        <w:t>(</w:t>
      </w:r>
      <w:r>
        <w:fldChar w:fldCharType="begin"/>
      </w:r>
      <w:r>
        <w:instrText xml:space="preserve"> HYPERLINK "https://fr.m.wikipedia.org/wiki/Digital_Object_Identifier" \o "Digital Object Identifier" </w:instrText>
      </w:r>
      <w:r>
        <w:fldChar w:fldCharType="separate"/>
      </w:r>
      <w:r>
        <w:rPr>
          <w:rStyle w:val="9"/>
          <w:rFonts w:ascii="Times New Roman" w:hAnsi="Times New Roman" w:eastAsia="Times New Roman" w:cs="Times New Roman"/>
          <w:color w:val="000000" w:themeColor="text1"/>
          <w:sz w:val="24"/>
          <w:szCs w:val="24"/>
        </w:rPr>
        <w:t>DOI</w:t>
      </w:r>
      <w:r>
        <w:rPr>
          <w:rStyle w:val="9"/>
          <w:rFonts w:ascii="Times New Roman" w:hAnsi="Times New Roman" w:eastAsia="Times New Roman" w:cs="Times New Roman"/>
          <w:color w:val="000000" w:themeColor="text1"/>
          <w:sz w:val="24"/>
          <w:szCs w:val="24"/>
        </w:rPr>
        <w:fldChar w:fldCharType="end"/>
      </w:r>
      <w:r>
        <w:rPr>
          <w:rStyle w:val="23"/>
          <w:rFonts w:ascii="Times New Roman" w:hAnsi="Times New Roman" w:eastAsia="Times New Roman" w:cs="Times New Roman"/>
          <w:color w:val="000000" w:themeColor="text1"/>
          <w:sz w:val="24"/>
          <w:szCs w:val="24"/>
        </w:rPr>
        <w:t> , </w:t>
      </w:r>
      <w:r>
        <w:fldChar w:fldCharType="begin"/>
      </w:r>
      <w:r>
        <w:instrText xml:space="preserve"> HYPERLINK "http://aas.bf.uni-lj.si/september2013/08Pazuki.pdf" </w:instrText>
      </w:r>
      <w:r>
        <w:fldChar w:fldCharType="separate"/>
      </w:r>
      <w:r>
        <w:rPr>
          <w:rStyle w:val="9"/>
          <w:rFonts w:ascii="Times New Roman" w:hAnsi="Times New Roman" w:eastAsia="Times New Roman" w:cs="Times New Roman"/>
          <w:color w:val="000000" w:themeColor="text1"/>
          <w:sz w:val="24"/>
          <w:szCs w:val="24"/>
        </w:rPr>
        <w:t>lire en ligne</w:t>
      </w:r>
      <w:r>
        <w:rPr>
          <w:rStyle w:val="9"/>
          <w:rFonts w:ascii="Times New Roman" w:hAnsi="Times New Roman" w:eastAsia="Times New Roman" w:cs="Times New Roman"/>
          <w:color w:val="000000" w:themeColor="text1"/>
          <w:sz w:val="24"/>
          <w:szCs w:val="24"/>
        </w:rPr>
        <w:fldChar w:fldCharType="end"/>
      </w:r>
      <w:r>
        <w:rPr>
          <w:rStyle w:val="23"/>
          <w:rFonts w:ascii="Times New Roman" w:hAnsi="Times New Roman" w:eastAsia="Times New Roman" w:cs="Times New Roman"/>
          <w:color w:val="000000" w:themeColor="text1"/>
          <w:sz w:val="24"/>
          <w:szCs w:val="24"/>
        </w:rPr>
        <w:t> [</w:t>
      </w:r>
      <w:r>
        <w:fldChar w:fldCharType="begin"/>
      </w:r>
      <w:r>
        <w:instrText xml:space="preserve"> HYPERLINK "https://archive.wikiwix.com/cache/?url=http%3A%2F%2Faas.bf.uni-lj.si%2Fseptember2013%2F08Pazuki.pdf" \o "archive sur Wikiwix" </w:instrText>
      </w:r>
      <w:r>
        <w:fldChar w:fldCharType="separate"/>
      </w:r>
      <w:r>
        <w:rPr>
          <w:rStyle w:val="9"/>
          <w:rFonts w:ascii="Times New Roman" w:hAnsi="Times New Roman" w:eastAsia="Times New Roman" w:cs="Times New Roman"/>
          <w:color w:val="000000" w:themeColor="text1"/>
          <w:sz w:val="24"/>
          <w:szCs w:val="24"/>
        </w:rPr>
        <w:t>archive</w:t>
      </w:r>
      <w:r>
        <w:rPr>
          <w:rStyle w:val="9"/>
          <w:rFonts w:ascii="Times New Roman" w:hAnsi="Times New Roman" w:eastAsia="Times New Roman" w:cs="Times New Roman"/>
          <w:color w:val="000000" w:themeColor="text1"/>
          <w:sz w:val="24"/>
          <w:szCs w:val="24"/>
        </w:rPr>
        <w:fldChar w:fldCharType="end"/>
      </w:r>
      <w:r>
        <w:rPr>
          <w:rStyle w:val="23"/>
          <w:rFonts w:ascii="Times New Roman" w:hAnsi="Times New Roman" w:eastAsia="Times New Roman" w:cs="Times New Roman"/>
          <w:color w:val="000000" w:themeColor="text1"/>
          <w:sz w:val="24"/>
          <w:szCs w:val="24"/>
        </w:rPr>
        <w:t>]</w:t>
      </w:r>
      <w:r>
        <w:rPr>
          <w:rStyle w:val="23"/>
          <w:rFonts w:ascii="Times New Roman" w:hAnsi="Times New Roman" w:eastAsia="Times New Roman" w:cs="Times New Roman"/>
          <w:color w:val="202122"/>
          <w:sz w:val="24"/>
          <w:szCs w:val="24"/>
        </w:rPr>
        <w:t> [PDF], consulté le 2 février 2014)</w:t>
      </w:r>
    </w:p>
    <w:p>
      <w:pPr>
        <w:numPr>
          <w:ilvl w:val="0"/>
          <w:numId w:val="1"/>
        </w:numPr>
        <w:shd w:val="clear" w:color="auto" w:fill="FFFFFF"/>
        <w:spacing w:after="0" w:afterAutospacing="1" w:line="240" w:lineRule="auto"/>
        <w:textAlignment w:val="baseline"/>
        <w:rPr>
          <w:rStyle w:val="23"/>
          <w:rFonts w:ascii="Times New Roman" w:hAnsi="Times New Roman" w:eastAsia="Times New Roman" w:cs="Times New Roman"/>
          <w:color w:val="202122"/>
          <w:sz w:val="24"/>
          <w:szCs w:val="24"/>
        </w:rPr>
      </w:pPr>
      <w:r>
        <w:rPr>
          <w:rStyle w:val="23"/>
          <w:rFonts w:ascii="Times New Roman" w:hAnsi="Times New Roman" w:eastAsia="Times New Roman" w:cs="Times New Roman"/>
          <w:color w:val="202122"/>
          <w:sz w:val="24"/>
          <w:szCs w:val="24"/>
        </w:rPr>
        <w:t>Anonyme .,1999. Cahier technique .Micropropagation pour l‟entreprise sericole :</w:t>
      </w:r>
    </w:p>
    <w:p>
      <w:pPr>
        <w:pStyle w:val="26"/>
        <w:numPr>
          <w:ilvl w:val="0"/>
          <w:numId w:val="1"/>
        </w:numPr>
        <w:rPr>
          <w:rStyle w:val="31"/>
          <w:rFonts w:ascii="Times New Roman" w:hAnsi="Times New Roman" w:cs="Times New Roman"/>
          <w:color w:val="000000" w:themeColor="text1"/>
          <w:sz w:val="24"/>
          <w:szCs w:val="24"/>
        </w:rPr>
      </w:pPr>
      <w:r>
        <w:rPr>
          <w:rStyle w:val="23"/>
          <w:rFonts w:ascii="Times New Roman" w:hAnsi="Times New Roman" w:eastAsia="Times New Roman" w:cs="Times New Roman"/>
          <w:color w:val="202122"/>
          <w:sz w:val="24"/>
          <w:szCs w:val="24"/>
        </w:rPr>
        <w:t>http://www.cides.qc.ca.</w:t>
      </w:r>
      <w:r>
        <w:rPr>
          <w:rFonts w:ascii="Times New Roman" w:hAnsi="Times New Roman" w:cs="Times New Roman"/>
          <w:color w:val="000000" w:themeColor="text1"/>
          <w:sz w:val="24"/>
          <w:szCs w:val="24"/>
        </w:rPr>
        <w:t>Helen Tardif</w:t>
      </w:r>
      <w:r>
        <w:rPr>
          <w:rFonts w:ascii="Times New Roman" w:hAnsi="Times New Roman" w:eastAsia="Times New Roman" w:cs="Times New Roman"/>
          <w:color w:val="2B2B2B"/>
          <w:sz w:val="24"/>
          <w:szCs w:val="24"/>
          <w:shd w:val="clear" w:color="auto" w:fill="FAFAFA"/>
        </w:rPr>
        <w:t>Amphithéâtre | Centre sur la biodiversité, </w:t>
      </w:r>
      <w:r>
        <w:rPr>
          <w:rStyle w:val="28"/>
          <w:rFonts w:ascii="Times New Roman" w:hAnsi="Times New Roman" w:eastAsia="Times New Roman" w:cs="Times New Roman"/>
          <w:color w:val="2B2B2B"/>
          <w:sz w:val="24"/>
          <w:szCs w:val="24"/>
          <w:shd w:val="clear" w:color="auto" w:fill="FAFAFA"/>
        </w:rPr>
        <w:t>4101 Sherbrooke Est</w:t>
      </w:r>
      <w:r>
        <w:rPr>
          <w:rFonts w:ascii="Times New Roman" w:hAnsi="Times New Roman" w:eastAsia="Times New Roman" w:cs="Times New Roman"/>
          <w:color w:val="2B2B2B"/>
          <w:sz w:val="24"/>
          <w:szCs w:val="24"/>
          <w:shd w:val="clear" w:color="auto" w:fill="FAFAFA"/>
        </w:rPr>
        <w:br w:type="textWrapping"/>
      </w:r>
      <w:r>
        <w:rPr>
          <w:rStyle w:val="29"/>
          <w:rFonts w:ascii="Times New Roman" w:hAnsi="Times New Roman" w:eastAsia="Times New Roman" w:cs="Times New Roman"/>
          <w:color w:val="2B2B2B"/>
          <w:sz w:val="24"/>
          <w:szCs w:val="24"/>
          <w:shd w:val="clear" w:color="auto" w:fill="FAFAFA"/>
        </w:rPr>
        <w:t>Montréal</w:t>
      </w:r>
      <w:r>
        <w:rPr>
          <w:rStyle w:val="30"/>
          <w:rFonts w:ascii="Times New Roman" w:hAnsi="Times New Roman" w:eastAsia="Times New Roman" w:cs="Times New Roman"/>
          <w:color w:val="2B2B2B"/>
          <w:sz w:val="24"/>
          <w:szCs w:val="24"/>
          <w:shd w:val="clear" w:color="auto" w:fill="FAFAFA"/>
        </w:rPr>
        <w:t>,</w:t>
      </w:r>
      <w:r>
        <w:rPr>
          <w:rStyle w:val="27"/>
          <w:rFonts w:ascii="Times New Roman" w:hAnsi="Times New Roman" w:eastAsia="Times New Roman" w:cs="Times New Roman"/>
          <w:color w:val="2B2B2B"/>
          <w:sz w:val="24"/>
          <w:szCs w:val="24"/>
          <w:shd w:val="clear" w:color="auto" w:fill="FAFAFA"/>
        </w:rPr>
        <w:t> </w:t>
      </w:r>
      <w:r>
        <w:rPr>
          <w:rStyle w:val="31"/>
          <w:rFonts w:ascii="Times New Roman" w:hAnsi="Times New Roman" w:eastAsia="Times New Roman" w:cs="Times New Roman"/>
          <w:color w:val="2B2B2B"/>
          <w:sz w:val="24"/>
          <w:szCs w:val="24"/>
          <w:shd w:val="clear" w:color="auto" w:fill="FAFAFA"/>
        </w:rPr>
        <w:t>Canada</w:t>
      </w:r>
    </w:p>
    <w:p>
      <w:pPr>
        <w:pStyle w:val="26"/>
        <w:numPr>
          <w:ilvl w:val="0"/>
          <w:numId w:val="1"/>
        </w:numPr>
        <w:rPr>
          <w:rStyle w:val="23"/>
          <w:rFonts w:ascii="Times New Roman" w:hAnsi="Times New Roman" w:cs="Times New Roman"/>
          <w:color w:val="000000" w:themeColor="text1"/>
          <w:sz w:val="24"/>
          <w:szCs w:val="24"/>
        </w:rPr>
      </w:pPr>
      <w:r>
        <w:rPr>
          <w:rStyle w:val="23"/>
          <w:rFonts w:ascii="Times New Roman" w:hAnsi="Times New Roman" w:eastAsia="Times New Roman" w:cs="Times New Roman"/>
          <w:color w:val="202122"/>
          <w:sz w:val="24"/>
          <w:szCs w:val="24"/>
        </w:rPr>
        <w:t>Skiredj A, 2007. Besoin des plantes en eau et en élément nutritifs, http/ kiredj+ éléments +nutritionnellespll=1</w:t>
      </w:r>
    </w:p>
    <w:p>
      <w:pPr>
        <w:pStyle w:val="26"/>
        <w:numPr>
          <w:ilvl w:val="0"/>
          <w:numId w:val="1"/>
        </w:numPr>
        <w:rPr>
          <w:sz w:val="24"/>
          <w:szCs w:val="24"/>
        </w:rPr>
      </w:pPr>
      <w:r>
        <w:rPr>
          <w:rStyle w:val="23"/>
          <w:rFonts w:ascii="Times New Roman" w:hAnsi="Times New Roman" w:eastAsia="Times New Roman" w:cs="Times New Roman"/>
          <w:color w:val="202122"/>
          <w:sz w:val="24"/>
          <w:szCs w:val="24"/>
        </w:rPr>
        <w:t xml:space="preserve">Abousalim A., walali LDM., salaoui k., 1993. Effet du stade phénologiques sur l’encrassement des bouture semi ligeneus de l’olivier en tablettes chauff </w:t>
      </w:r>
      <w:r>
        <w:rPr>
          <w:rStyle w:val="23"/>
          <w:rFonts w:hint="default" w:ascii="Times New Roman" w:hAnsi="Times New Roman" w:eastAsia="Times New Roman" w:cs="Times New Roman"/>
          <w:color w:val="202122"/>
          <w:sz w:val="24"/>
          <w:szCs w:val="24"/>
          <w:lang w:val="fr-FR"/>
        </w:rPr>
        <w:t xml:space="preserve"> </w:t>
      </w:r>
      <w:r>
        <w:rPr>
          <w:rStyle w:val="23"/>
          <w:rFonts w:ascii="Times New Roman" w:hAnsi="Times New Roman" w:eastAsia="Times New Roman" w:cs="Times New Roman"/>
          <w:color w:val="202122"/>
          <w:sz w:val="24"/>
          <w:szCs w:val="24"/>
        </w:rPr>
        <w:t xml:space="preserve">T h o r p e T. A., 1980. Organogénesis in vitro : structural physiological and </w:t>
      </w:r>
    </w:p>
    <w:p>
      <w:pPr>
        <w:pStyle w:val="26"/>
        <w:numPr>
          <w:ilvl w:val="0"/>
          <w:numId w:val="1"/>
        </w:numPr>
        <w:rPr>
          <w:rStyle w:val="23"/>
          <w:rFonts w:ascii="Times New Roman" w:hAnsi="Times New Roman" w:cs="Times New Roman"/>
          <w:color w:val="000000" w:themeColor="text1"/>
          <w:sz w:val="24"/>
          <w:szCs w:val="24"/>
        </w:rPr>
      </w:pPr>
      <w:r>
        <w:rPr>
          <w:rStyle w:val="23"/>
          <w:rFonts w:ascii="Times New Roman" w:hAnsi="Times New Roman" w:eastAsia="Times New Roman" w:cs="Times New Roman"/>
          <w:color w:val="202122"/>
          <w:sz w:val="24"/>
          <w:szCs w:val="24"/>
        </w:rPr>
        <w:t>biochemical aspect, In basil Ik. (Ed). Suppl.Il.,p.71_111</w:t>
      </w:r>
    </w:p>
    <w:p>
      <w:pPr>
        <w:pStyle w:val="26"/>
        <w:numPr>
          <w:ilvl w:val="0"/>
          <w:numId w:val="1"/>
        </w:numPr>
        <w:rPr>
          <w:rStyle w:val="23"/>
          <w:rFonts w:ascii="Times New Roman" w:hAnsi="Times New Roman" w:cs="Times New Roman"/>
          <w:color w:val="000000" w:themeColor="text1"/>
          <w:sz w:val="24"/>
          <w:szCs w:val="24"/>
        </w:rPr>
      </w:pPr>
      <w:r>
        <w:rPr>
          <w:rStyle w:val="23"/>
          <w:rFonts w:ascii="Times New Roman" w:hAnsi="Times New Roman" w:eastAsia="Times New Roman" w:cs="Times New Roman"/>
          <w:color w:val="202122"/>
          <w:sz w:val="24"/>
          <w:szCs w:val="24"/>
        </w:rPr>
        <w:t>C ab ec h e m., 1987. Nitrogéne carbohydrat and zinc requirements for the efficient induction of shoot morphogenesis from protoplast-dervied colonies of N I c t I a. Palnt cell. Tissue org. Cult</w:t>
      </w:r>
    </w:p>
    <w:p>
      <w:pPr>
        <w:pStyle w:val="26"/>
        <w:numPr>
          <w:ilvl w:val="0"/>
          <w:numId w:val="1"/>
        </w:numPr>
        <w:rPr>
          <w:rStyle w:val="23"/>
          <w:rFonts w:ascii="Times New Roman" w:hAnsi="Times New Roman" w:cs="Times New Roman"/>
          <w:color w:val="000000" w:themeColor="text1"/>
          <w:sz w:val="24"/>
          <w:szCs w:val="24"/>
        </w:rPr>
      </w:pPr>
      <w:r>
        <w:rPr>
          <w:rStyle w:val="23"/>
          <w:rFonts w:ascii="Times New Roman" w:hAnsi="Times New Roman" w:eastAsia="Times New Roman" w:cs="Times New Roman"/>
          <w:color w:val="202122"/>
          <w:sz w:val="24"/>
          <w:szCs w:val="24"/>
        </w:rPr>
        <w:t xml:space="preserve">David Hk. Isemukail k., David A., 1987. Obtention de plant de pin maratim (minus panister solnad) à partir de brachyblastes ou d’apex culinaires de très jeunes sujets cultivés in vitro. </w:t>
      </w:r>
    </w:p>
    <w:p>
      <w:pPr>
        <w:pStyle w:val="26"/>
        <w:rPr>
          <w:rStyle w:val="31"/>
          <w:rFonts w:ascii="Times New Roman" w:hAnsi="Times New Roman" w:cs="Times New Roman"/>
          <w:color w:val="000000" w:themeColor="text1"/>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sectPr>
          <w:type w:val="continuous"/>
          <w:pgSz w:w="11906" w:h="16838"/>
          <w:pgMar w:top="720" w:right="720" w:bottom="720" w:left="720" w:header="708" w:footer="708" w:gutter="0"/>
          <w:cols w:equalWidth="0" w:num="2">
            <w:col w:w="5020" w:space="425"/>
            <w:col w:w="5020"/>
          </w:cols>
        </w:sectPr>
      </w:pPr>
    </w:p>
    <w:p>
      <w:pPr>
        <w:pStyle w:val="26"/>
        <w:numPr>
          <w:numId w:val="0"/>
        </w:numPr>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tabs>
          <w:tab w:val="left" w:pos="142"/>
        </w:tabs>
        <w:spacing w:line="240" w:lineRule="auto"/>
        <w:ind w:right="39"/>
        <w:jc w:val="both"/>
        <w:rPr>
          <w:sz w:val="24"/>
          <w:szCs w:val="24"/>
        </w:rPr>
      </w:pPr>
    </w:p>
    <w:p>
      <w:pPr>
        <w:spacing w:line="240" w:lineRule="auto"/>
        <w:ind w:right="354"/>
        <w:jc w:val="both"/>
        <w:rPr>
          <w:sz w:val="24"/>
          <w:szCs w:val="24"/>
        </w:rPr>
      </w:pPr>
    </w:p>
    <w:sectPr>
      <w:type w:val="continuous"/>
      <w:pgSz w:w="11906" w:h="16838"/>
      <w:pgMar w:top="720" w:right="720" w:bottom="720" w:left="720" w:header="708" w:footer="708" w:gutter="0"/>
      <w:cols w:equalWidth="0" w:num="3">
        <w:col w:w="3015" w:space="709"/>
        <w:col w:w="3015" w:space="709"/>
        <w:col w:w="301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after="0" w:line="240" w:lineRule="auto"/>
      <w:jc w:val="center"/>
      <w:rPr>
        <w:color w:val="000000"/>
      </w:rPr>
    </w:pPr>
    <w:r>
      <w:rPr>
        <w:color w:val="000000"/>
      </w:rPr>
      <mc:AlternateContent>
        <mc:Choice Requires="wps">
          <w:drawing>
            <wp:inline distT="0" distB="0" distL="114300" distR="114300">
              <wp:extent cx="5467350" cy="54610"/>
              <wp:effectExtent l="38100" t="5080" r="38100" b="16510"/>
              <wp:docPr id="11" name="Forme automatique 1"/>
              <wp:cNvGraphicFramePr/>
              <a:graphic xmlns:a="http://schemas.openxmlformats.org/drawingml/2006/main">
                <a:graphicData uri="http://schemas.microsoft.com/office/word/2010/wordprocessingShape">
                  <wps:wsp>
                    <wps:cNvSpPr/>
                    <wps:spPr>
                      <a:xfrm>
                        <a:off x="0" y="0"/>
                        <a:ext cx="5467350" cy="54610"/>
                      </a:xfrm>
                      <a:prstGeom prst="flowChartDecision">
                        <a:avLst/>
                      </a:prstGeom>
                      <a:solidFill>
                        <a:srgbClr val="000000"/>
                      </a:solidFill>
                      <a:ln w="9525" cap="flat" cmpd="sng">
                        <a:solidFill>
                          <a:srgbClr val="000000"/>
                        </a:solidFill>
                        <a:prstDash val="solid"/>
                        <a:miter/>
                        <a:headEnd type="none" w="med" len="med"/>
                        <a:tailEnd type="none" w="med" len="med"/>
                      </a:ln>
                    </wps:spPr>
                    <wps:bodyPr wrap="square" anchor="t" anchorCtr="0" upright="1"/>
                  </wps:wsp>
                </a:graphicData>
              </a:graphic>
            </wp:inline>
          </w:drawing>
        </mc:Choice>
        <mc:Fallback>
          <w:pict>
            <v:shape id="Forme automatique 1" o:spid="_x0000_s1026" o:spt="110" type="#_x0000_t110" style="height:4.3pt;width:430.5pt;" fillcolor="#000000" filled="t" stroked="t" coordsize="21600,21600" o:gfxdata="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mDodIAAAADAQAADwAAAAAAAAABACAAAAAi&#10;AAAAZHJzL2Rvd25yZXYueG1sUEsBAhQAFAAAAAgAh07iQI2rqYwQAgAAXQQAAA4AAAAAAAAAAQAg&#10;AAAAIQEAAGRycy9lMm9Eb2MueG1sUEsFBgAAAAAGAAYAWQEAAKMFAAAAAA==&#10;">
              <v:fill on="t" focussize="0,0"/>
              <v:stroke color="#000000" joinstyle="miter"/>
              <v:imagedata o:title=""/>
              <o:lock v:ext="edit" aspectratio="f"/>
              <w10:wrap type="none"/>
              <w10:anchorlock/>
            </v:shape>
          </w:pict>
        </mc:Fallback>
      </mc:AlternateContent>
    </w:r>
  </w:p>
  <w:p>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6</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62C18"/>
    <w:multiLevelType w:val="multilevel"/>
    <w:tmpl w:val="26D62C1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ED"/>
    <w:rsid w:val="0000149F"/>
    <w:rsid w:val="000116DB"/>
    <w:rsid w:val="0001176C"/>
    <w:rsid w:val="000149A9"/>
    <w:rsid w:val="00015072"/>
    <w:rsid w:val="0002018D"/>
    <w:rsid w:val="00020486"/>
    <w:rsid w:val="000232A3"/>
    <w:rsid w:val="00024D61"/>
    <w:rsid w:val="00026F86"/>
    <w:rsid w:val="00030ECE"/>
    <w:rsid w:val="00031030"/>
    <w:rsid w:val="0003441C"/>
    <w:rsid w:val="0004751F"/>
    <w:rsid w:val="0005683C"/>
    <w:rsid w:val="00056CF4"/>
    <w:rsid w:val="000655CC"/>
    <w:rsid w:val="0007050B"/>
    <w:rsid w:val="000730D9"/>
    <w:rsid w:val="00073E2B"/>
    <w:rsid w:val="00073F54"/>
    <w:rsid w:val="00074863"/>
    <w:rsid w:val="00075964"/>
    <w:rsid w:val="00084807"/>
    <w:rsid w:val="00087689"/>
    <w:rsid w:val="000905DA"/>
    <w:rsid w:val="00090F98"/>
    <w:rsid w:val="00091D1D"/>
    <w:rsid w:val="000932FF"/>
    <w:rsid w:val="00093A76"/>
    <w:rsid w:val="000A1AE0"/>
    <w:rsid w:val="000A1C6C"/>
    <w:rsid w:val="000A4ED1"/>
    <w:rsid w:val="000A51BD"/>
    <w:rsid w:val="000A57F9"/>
    <w:rsid w:val="000B15CC"/>
    <w:rsid w:val="000B5467"/>
    <w:rsid w:val="000B56EC"/>
    <w:rsid w:val="000B700E"/>
    <w:rsid w:val="000C619F"/>
    <w:rsid w:val="000D1602"/>
    <w:rsid w:val="000D37CF"/>
    <w:rsid w:val="000D6190"/>
    <w:rsid w:val="000D72C1"/>
    <w:rsid w:val="000E2E78"/>
    <w:rsid w:val="000E319E"/>
    <w:rsid w:val="000E46E5"/>
    <w:rsid w:val="000E6835"/>
    <w:rsid w:val="000E6C36"/>
    <w:rsid w:val="000F3ECB"/>
    <w:rsid w:val="000F5C6E"/>
    <w:rsid w:val="000F6F0E"/>
    <w:rsid w:val="000F7ED5"/>
    <w:rsid w:val="00102867"/>
    <w:rsid w:val="001033DD"/>
    <w:rsid w:val="00103E95"/>
    <w:rsid w:val="0010495F"/>
    <w:rsid w:val="00104EBC"/>
    <w:rsid w:val="00105682"/>
    <w:rsid w:val="00107549"/>
    <w:rsid w:val="0011079A"/>
    <w:rsid w:val="00111825"/>
    <w:rsid w:val="00113A5A"/>
    <w:rsid w:val="001164C6"/>
    <w:rsid w:val="001200D6"/>
    <w:rsid w:val="00122962"/>
    <w:rsid w:val="00122FC5"/>
    <w:rsid w:val="001261CE"/>
    <w:rsid w:val="00127553"/>
    <w:rsid w:val="00131D04"/>
    <w:rsid w:val="00131EF8"/>
    <w:rsid w:val="0013437F"/>
    <w:rsid w:val="00134553"/>
    <w:rsid w:val="001404D7"/>
    <w:rsid w:val="00141F04"/>
    <w:rsid w:val="00155224"/>
    <w:rsid w:val="0015628B"/>
    <w:rsid w:val="00156475"/>
    <w:rsid w:val="00156772"/>
    <w:rsid w:val="001624B3"/>
    <w:rsid w:val="00165896"/>
    <w:rsid w:val="00165E28"/>
    <w:rsid w:val="00165FF7"/>
    <w:rsid w:val="00170DC5"/>
    <w:rsid w:val="00171CEC"/>
    <w:rsid w:val="00173571"/>
    <w:rsid w:val="00177C5B"/>
    <w:rsid w:val="00181292"/>
    <w:rsid w:val="00193927"/>
    <w:rsid w:val="00196AA5"/>
    <w:rsid w:val="001A174B"/>
    <w:rsid w:val="001A1780"/>
    <w:rsid w:val="001A1D67"/>
    <w:rsid w:val="001B0CEB"/>
    <w:rsid w:val="001B26AF"/>
    <w:rsid w:val="001B2902"/>
    <w:rsid w:val="001B562F"/>
    <w:rsid w:val="001C159D"/>
    <w:rsid w:val="001C1B8B"/>
    <w:rsid w:val="001C6C0B"/>
    <w:rsid w:val="001D1C72"/>
    <w:rsid w:val="001D2E22"/>
    <w:rsid w:val="001D5F89"/>
    <w:rsid w:val="001D67AD"/>
    <w:rsid w:val="001E139C"/>
    <w:rsid w:val="001E1B1C"/>
    <w:rsid w:val="001E3415"/>
    <w:rsid w:val="001E37A8"/>
    <w:rsid w:val="001E73AB"/>
    <w:rsid w:val="001F192E"/>
    <w:rsid w:val="001F538B"/>
    <w:rsid w:val="001F6C1F"/>
    <w:rsid w:val="0020004F"/>
    <w:rsid w:val="00201960"/>
    <w:rsid w:val="002024C3"/>
    <w:rsid w:val="00202D36"/>
    <w:rsid w:val="00203815"/>
    <w:rsid w:val="002129EF"/>
    <w:rsid w:val="00216B9B"/>
    <w:rsid w:val="00225A19"/>
    <w:rsid w:val="002274F9"/>
    <w:rsid w:val="00233032"/>
    <w:rsid w:val="00233C78"/>
    <w:rsid w:val="00233FA9"/>
    <w:rsid w:val="00234CF8"/>
    <w:rsid w:val="00234FD3"/>
    <w:rsid w:val="00242054"/>
    <w:rsid w:val="002428A2"/>
    <w:rsid w:val="002457DF"/>
    <w:rsid w:val="00254AA0"/>
    <w:rsid w:val="00255888"/>
    <w:rsid w:val="0025612B"/>
    <w:rsid w:val="00257056"/>
    <w:rsid w:val="00262B6E"/>
    <w:rsid w:val="00264556"/>
    <w:rsid w:val="00265F73"/>
    <w:rsid w:val="002672E7"/>
    <w:rsid w:val="00267982"/>
    <w:rsid w:val="00282041"/>
    <w:rsid w:val="0028221F"/>
    <w:rsid w:val="00287850"/>
    <w:rsid w:val="00291002"/>
    <w:rsid w:val="0029100C"/>
    <w:rsid w:val="002932FF"/>
    <w:rsid w:val="00295AD6"/>
    <w:rsid w:val="002A2289"/>
    <w:rsid w:val="002A3B7C"/>
    <w:rsid w:val="002A54A5"/>
    <w:rsid w:val="002B11A4"/>
    <w:rsid w:val="002C1F37"/>
    <w:rsid w:val="002C249B"/>
    <w:rsid w:val="002C35F5"/>
    <w:rsid w:val="002C6AF8"/>
    <w:rsid w:val="002D3C45"/>
    <w:rsid w:val="002D3DB5"/>
    <w:rsid w:val="002D5172"/>
    <w:rsid w:val="002E6ECB"/>
    <w:rsid w:val="002E785F"/>
    <w:rsid w:val="002F17D6"/>
    <w:rsid w:val="002F53EC"/>
    <w:rsid w:val="002F707A"/>
    <w:rsid w:val="00300D31"/>
    <w:rsid w:val="003067F8"/>
    <w:rsid w:val="003074E8"/>
    <w:rsid w:val="00307D51"/>
    <w:rsid w:val="0031090A"/>
    <w:rsid w:val="0031265A"/>
    <w:rsid w:val="003130B8"/>
    <w:rsid w:val="0031396B"/>
    <w:rsid w:val="00316BFE"/>
    <w:rsid w:val="00317461"/>
    <w:rsid w:val="003229BE"/>
    <w:rsid w:val="00322CEA"/>
    <w:rsid w:val="0032300E"/>
    <w:rsid w:val="003245F8"/>
    <w:rsid w:val="00324CC7"/>
    <w:rsid w:val="0033181D"/>
    <w:rsid w:val="0033281A"/>
    <w:rsid w:val="003332F4"/>
    <w:rsid w:val="00333D93"/>
    <w:rsid w:val="00334C15"/>
    <w:rsid w:val="003375DF"/>
    <w:rsid w:val="00342D27"/>
    <w:rsid w:val="00346BD0"/>
    <w:rsid w:val="00347A31"/>
    <w:rsid w:val="00357181"/>
    <w:rsid w:val="00364199"/>
    <w:rsid w:val="0036728B"/>
    <w:rsid w:val="00372404"/>
    <w:rsid w:val="00372B0D"/>
    <w:rsid w:val="003803A3"/>
    <w:rsid w:val="00382107"/>
    <w:rsid w:val="00386158"/>
    <w:rsid w:val="00387278"/>
    <w:rsid w:val="00387C2D"/>
    <w:rsid w:val="00395EB6"/>
    <w:rsid w:val="003B4C63"/>
    <w:rsid w:val="003B5A3E"/>
    <w:rsid w:val="003B5EC0"/>
    <w:rsid w:val="003B6030"/>
    <w:rsid w:val="003C0AF5"/>
    <w:rsid w:val="003C169A"/>
    <w:rsid w:val="003C543E"/>
    <w:rsid w:val="003C6FED"/>
    <w:rsid w:val="003D2CF1"/>
    <w:rsid w:val="003D5565"/>
    <w:rsid w:val="003D64B7"/>
    <w:rsid w:val="003D7859"/>
    <w:rsid w:val="003E0678"/>
    <w:rsid w:val="003E0B4D"/>
    <w:rsid w:val="003F3D32"/>
    <w:rsid w:val="003F4CA5"/>
    <w:rsid w:val="003F66CC"/>
    <w:rsid w:val="0040080B"/>
    <w:rsid w:val="00400E24"/>
    <w:rsid w:val="00404912"/>
    <w:rsid w:val="00404ABB"/>
    <w:rsid w:val="00406D6C"/>
    <w:rsid w:val="0041440F"/>
    <w:rsid w:val="0041487F"/>
    <w:rsid w:val="004215FC"/>
    <w:rsid w:val="00422064"/>
    <w:rsid w:val="00422750"/>
    <w:rsid w:val="0042496D"/>
    <w:rsid w:val="00430B7C"/>
    <w:rsid w:val="00432E7F"/>
    <w:rsid w:val="00434012"/>
    <w:rsid w:val="00434DFA"/>
    <w:rsid w:val="004376E5"/>
    <w:rsid w:val="00437E62"/>
    <w:rsid w:val="0044052D"/>
    <w:rsid w:val="00460CC8"/>
    <w:rsid w:val="00461F73"/>
    <w:rsid w:val="004639D8"/>
    <w:rsid w:val="00472072"/>
    <w:rsid w:val="00473CBF"/>
    <w:rsid w:val="00477237"/>
    <w:rsid w:val="00482A77"/>
    <w:rsid w:val="004851DA"/>
    <w:rsid w:val="0049039C"/>
    <w:rsid w:val="0049506B"/>
    <w:rsid w:val="004A3A50"/>
    <w:rsid w:val="004A512F"/>
    <w:rsid w:val="004A51B0"/>
    <w:rsid w:val="004A56DB"/>
    <w:rsid w:val="004B41A5"/>
    <w:rsid w:val="004B522D"/>
    <w:rsid w:val="004B6180"/>
    <w:rsid w:val="004B7247"/>
    <w:rsid w:val="004C18ED"/>
    <w:rsid w:val="004C3A79"/>
    <w:rsid w:val="004C535C"/>
    <w:rsid w:val="004D51FF"/>
    <w:rsid w:val="004E1AED"/>
    <w:rsid w:val="004E35E1"/>
    <w:rsid w:val="004E3628"/>
    <w:rsid w:val="004E4A50"/>
    <w:rsid w:val="004E6E39"/>
    <w:rsid w:val="004F321A"/>
    <w:rsid w:val="004F3780"/>
    <w:rsid w:val="00504D3F"/>
    <w:rsid w:val="005051D5"/>
    <w:rsid w:val="00507F78"/>
    <w:rsid w:val="0051192E"/>
    <w:rsid w:val="00511F85"/>
    <w:rsid w:val="005137EC"/>
    <w:rsid w:val="005141A1"/>
    <w:rsid w:val="005163F0"/>
    <w:rsid w:val="00516A4E"/>
    <w:rsid w:val="00516E32"/>
    <w:rsid w:val="00517642"/>
    <w:rsid w:val="005202EA"/>
    <w:rsid w:val="00524294"/>
    <w:rsid w:val="00530EF3"/>
    <w:rsid w:val="0053336C"/>
    <w:rsid w:val="005376BD"/>
    <w:rsid w:val="00544AD9"/>
    <w:rsid w:val="005467DA"/>
    <w:rsid w:val="00550FA4"/>
    <w:rsid w:val="00551288"/>
    <w:rsid w:val="00554ECA"/>
    <w:rsid w:val="0055568F"/>
    <w:rsid w:val="00555D59"/>
    <w:rsid w:val="005574BF"/>
    <w:rsid w:val="0055772D"/>
    <w:rsid w:val="00557A8C"/>
    <w:rsid w:val="005627FC"/>
    <w:rsid w:val="005706A0"/>
    <w:rsid w:val="00571D9C"/>
    <w:rsid w:val="005738DB"/>
    <w:rsid w:val="0057691E"/>
    <w:rsid w:val="0058536E"/>
    <w:rsid w:val="00586355"/>
    <w:rsid w:val="00591FBF"/>
    <w:rsid w:val="00593820"/>
    <w:rsid w:val="00593FA4"/>
    <w:rsid w:val="00594190"/>
    <w:rsid w:val="00597B20"/>
    <w:rsid w:val="005A1392"/>
    <w:rsid w:val="005A44A3"/>
    <w:rsid w:val="005A4CB9"/>
    <w:rsid w:val="005A6CFB"/>
    <w:rsid w:val="005B025F"/>
    <w:rsid w:val="005B3237"/>
    <w:rsid w:val="005B455B"/>
    <w:rsid w:val="005B6F23"/>
    <w:rsid w:val="005B7371"/>
    <w:rsid w:val="005C1904"/>
    <w:rsid w:val="005C31EF"/>
    <w:rsid w:val="005C7885"/>
    <w:rsid w:val="005C7D69"/>
    <w:rsid w:val="005D23D5"/>
    <w:rsid w:val="005D3421"/>
    <w:rsid w:val="005D3A92"/>
    <w:rsid w:val="005D675A"/>
    <w:rsid w:val="005E4ED7"/>
    <w:rsid w:val="005E5B49"/>
    <w:rsid w:val="005E6CC2"/>
    <w:rsid w:val="00600BC6"/>
    <w:rsid w:val="00604CDF"/>
    <w:rsid w:val="00605E66"/>
    <w:rsid w:val="0061023B"/>
    <w:rsid w:val="00616CF0"/>
    <w:rsid w:val="006236E7"/>
    <w:rsid w:val="00624260"/>
    <w:rsid w:val="00633B09"/>
    <w:rsid w:val="00633B52"/>
    <w:rsid w:val="00636662"/>
    <w:rsid w:val="00637F28"/>
    <w:rsid w:val="00640F8E"/>
    <w:rsid w:val="006426A2"/>
    <w:rsid w:val="006454F0"/>
    <w:rsid w:val="0064675A"/>
    <w:rsid w:val="0065004B"/>
    <w:rsid w:val="006517AC"/>
    <w:rsid w:val="006537FE"/>
    <w:rsid w:val="00654FE1"/>
    <w:rsid w:val="006578E3"/>
    <w:rsid w:val="006610AA"/>
    <w:rsid w:val="00663975"/>
    <w:rsid w:val="0066491F"/>
    <w:rsid w:val="006660AF"/>
    <w:rsid w:val="006719AB"/>
    <w:rsid w:val="006736E7"/>
    <w:rsid w:val="006743DD"/>
    <w:rsid w:val="00675E0A"/>
    <w:rsid w:val="00675FB2"/>
    <w:rsid w:val="00685D8E"/>
    <w:rsid w:val="006922B7"/>
    <w:rsid w:val="00693118"/>
    <w:rsid w:val="006A33E9"/>
    <w:rsid w:val="006A46C5"/>
    <w:rsid w:val="006A6AE6"/>
    <w:rsid w:val="006A6F0B"/>
    <w:rsid w:val="006A7CD4"/>
    <w:rsid w:val="006B329A"/>
    <w:rsid w:val="006B3716"/>
    <w:rsid w:val="006B6660"/>
    <w:rsid w:val="006B72F6"/>
    <w:rsid w:val="006C267C"/>
    <w:rsid w:val="006D1A58"/>
    <w:rsid w:val="006D44CB"/>
    <w:rsid w:val="006D60F8"/>
    <w:rsid w:val="006E6C83"/>
    <w:rsid w:val="006F714D"/>
    <w:rsid w:val="00704D76"/>
    <w:rsid w:val="00704EE8"/>
    <w:rsid w:val="00707064"/>
    <w:rsid w:val="007071F6"/>
    <w:rsid w:val="00712D01"/>
    <w:rsid w:val="00722535"/>
    <w:rsid w:val="00736726"/>
    <w:rsid w:val="00737281"/>
    <w:rsid w:val="00747577"/>
    <w:rsid w:val="0075482F"/>
    <w:rsid w:val="0075681A"/>
    <w:rsid w:val="007621B8"/>
    <w:rsid w:val="0076511D"/>
    <w:rsid w:val="007679B6"/>
    <w:rsid w:val="00770188"/>
    <w:rsid w:val="0077773D"/>
    <w:rsid w:val="0078011F"/>
    <w:rsid w:val="00780757"/>
    <w:rsid w:val="00783340"/>
    <w:rsid w:val="00783530"/>
    <w:rsid w:val="007868BD"/>
    <w:rsid w:val="0079046B"/>
    <w:rsid w:val="0079205A"/>
    <w:rsid w:val="007924FD"/>
    <w:rsid w:val="007927F4"/>
    <w:rsid w:val="007945FB"/>
    <w:rsid w:val="007954E8"/>
    <w:rsid w:val="00796185"/>
    <w:rsid w:val="007A126F"/>
    <w:rsid w:val="007A1CED"/>
    <w:rsid w:val="007A3E0F"/>
    <w:rsid w:val="007A5B32"/>
    <w:rsid w:val="007A6D0B"/>
    <w:rsid w:val="007B34C8"/>
    <w:rsid w:val="007B51F7"/>
    <w:rsid w:val="007B70EB"/>
    <w:rsid w:val="007C6061"/>
    <w:rsid w:val="007D028B"/>
    <w:rsid w:val="007D1212"/>
    <w:rsid w:val="007D2C23"/>
    <w:rsid w:val="007D2CC4"/>
    <w:rsid w:val="007D2F48"/>
    <w:rsid w:val="007E4534"/>
    <w:rsid w:val="007E53FB"/>
    <w:rsid w:val="007F19C2"/>
    <w:rsid w:val="007F1D40"/>
    <w:rsid w:val="007F4C02"/>
    <w:rsid w:val="007F7B2B"/>
    <w:rsid w:val="00800CC1"/>
    <w:rsid w:val="008075CC"/>
    <w:rsid w:val="00807C06"/>
    <w:rsid w:val="00816A15"/>
    <w:rsid w:val="00820006"/>
    <w:rsid w:val="008253EB"/>
    <w:rsid w:val="00827835"/>
    <w:rsid w:val="00827BBA"/>
    <w:rsid w:val="008307F1"/>
    <w:rsid w:val="008329BC"/>
    <w:rsid w:val="00833E08"/>
    <w:rsid w:val="00834795"/>
    <w:rsid w:val="008348C8"/>
    <w:rsid w:val="0084076B"/>
    <w:rsid w:val="0084123B"/>
    <w:rsid w:val="00843318"/>
    <w:rsid w:val="00857DAC"/>
    <w:rsid w:val="008606BB"/>
    <w:rsid w:val="00862C35"/>
    <w:rsid w:val="00864341"/>
    <w:rsid w:val="00867090"/>
    <w:rsid w:val="008704EF"/>
    <w:rsid w:val="00873B4F"/>
    <w:rsid w:val="00874BBD"/>
    <w:rsid w:val="008774B9"/>
    <w:rsid w:val="00881408"/>
    <w:rsid w:val="008855AE"/>
    <w:rsid w:val="00886AF9"/>
    <w:rsid w:val="00896137"/>
    <w:rsid w:val="008A75BB"/>
    <w:rsid w:val="008A7F5B"/>
    <w:rsid w:val="008B3C64"/>
    <w:rsid w:val="008B7326"/>
    <w:rsid w:val="008B739B"/>
    <w:rsid w:val="008C06EC"/>
    <w:rsid w:val="008C5E3D"/>
    <w:rsid w:val="008D5E83"/>
    <w:rsid w:val="008E3112"/>
    <w:rsid w:val="008E360C"/>
    <w:rsid w:val="008F0FFC"/>
    <w:rsid w:val="008F1335"/>
    <w:rsid w:val="008F407C"/>
    <w:rsid w:val="008F7258"/>
    <w:rsid w:val="00901D0F"/>
    <w:rsid w:val="0090295E"/>
    <w:rsid w:val="00905292"/>
    <w:rsid w:val="009111E4"/>
    <w:rsid w:val="009121EE"/>
    <w:rsid w:val="0091413E"/>
    <w:rsid w:val="00915AAE"/>
    <w:rsid w:val="0092536C"/>
    <w:rsid w:val="00926B05"/>
    <w:rsid w:val="00927C3C"/>
    <w:rsid w:val="0093062D"/>
    <w:rsid w:val="009323EE"/>
    <w:rsid w:val="00933CD4"/>
    <w:rsid w:val="00935CD2"/>
    <w:rsid w:val="009402D8"/>
    <w:rsid w:val="009422B4"/>
    <w:rsid w:val="00942C08"/>
    <w:rsid w:val="00943857"/>
    <w:rsid w:val="00947A33"/>
    <w:rsid w:val="009509BD"/>
    <w:rsid w:val="00960550"/>
    <w:rsid w:val="009644E2"/>
    <w:rsid w:val="00970A78"/>
    <w:rsid w:val="0097179D"/>
    <w:rsid w:val="009722DB"/>
    <w:rsid w:val="00973CF4"/>
    <w:rsid w:val="0097641D"/>
    <w:rsid w:val="00982325"/>
    <w:rsid w:val="0098340F"/>
    <w:rsid w:val="00986976"/>
    <w:rsid w:val="009958E9"/>
    <w:rsid w:val="00995C4F"/>
    <w:rsid w:val="009A167A"/>
    <w:rsid w:val="009A5022"/>
    <w:rsid w:val="009B27CC"/>
    <w:rsid w:val="009B741D"/>
    <w:rsid w:val="009D3AA2"/>
    <w:rsid w:val="009D7F66"/>
    <w:rsid w:val="009E1DDA"/>
    <w:rsid w:val="009E2001"/>
    <w:rsid w:val="009E2575"/>
    <w:rsid w:val="009E4EEC"/>
    <w:rsid w:val="009E527C"/>
    <w:rsid w:val="009F40CF"/>
    <w:rsid w:val="00A001E4"/>
    <w:rsid w:val="00A02F84"/>
    <w:rsid w:val="00A05484"/>
    <w:rsid w:val="00A07585"/>
    <w:rsid w:val="00A109A5"/>
    <w:rsid w:val="00A11319"/>
    <w:rsid w:val="00A12A94"/>
    <w:rsid w:val="00A13857"/>
    <w:rsid w:val="00A14297"/>
    <w:rsid w:val="00A25561"/>
    <w:rsid w:val="00A313F7"/>
    <w:rsid w:val="00A326F4"/>
    <w:rsid w:val="00A330E1"/>
    <w:rsid w:val="00A42375"/>
    <w:rsid w:val="00A43112"/>
    <w:rsid w:val="00A433C9"/>
    <w:rsid w:val="00A534B7"/>
    <w:rsid w:val="00A61495"/>
    <w:rsid w:val="00A618D9"/>
    <w:rsid w:val="00A65A26"/>
    <w:rsid w:val="00A679B2"/>
    <w:rsid w:val="00A7437A"/>
    <w:rsid w:val="00A800A8"/>
    <w:rsid w:val="00A830BF"/>
    <w:rsid w:val="00A84704"/>
    <w:rsid w:val="00A84D75"/>
    <w:rsid w:val="00A90377"/>
    <w:rsid w:val="00A9360F"/>
    <w:rsid w:val="00A94EF8"/>
    <w:rsid w:val="00A953FF"/>
    <w:rsid w:val="00A971AB"/>
    <w:rsid w:val="00A97396"/>
    <w:rsid w:val="00A97B1A"/>
    <w:rsid w:val="00AA0F09"/>
    <w:rsid w:val="00AA3EFB"/>
    <w:rsid w:val="00AA5416"/>
    <w:rsid w:val="00AB113F"/>
    <w:rsid w:val="00AB4E30"/>
    <w:rsid w:val="00AB7EBE"/>
    <w:rsid w:val="00AC1F5B"/>
    <w:rsid w:val="00AC4772"/>
    <w:rsid w:val="00AC55FB"/>
    <w:rsid w:val="00AD1783"/>
    <w:rsid w:val="00AD41A8"/>
    <w:rsid w:val="00AD4AB3"/>
    <w:rsid w:val="00AE1E17"/>
    <w:rsid w:val="00AE365F"/>
    <w:rsid w:val="00AE40D8"/>
    <w:rsid w:val="00AF1232"/>
    <w:rsid w:val="00AF2F0C"/>
    <w:rsid w:val="00AF5F46"/>
    <w:rsid w:val="00AF7A91"/>
    <w:rsid w:val="00B000A4"/>
    <w:rsid w:val="00B01F02"/>
    <w:rsid w:val="00B0276C"/>
    <w:rsid w:val="00B073B7"/>
    <w:rsid w:val="00B15CBF"/>
    <w:rsid w:val="00B163E8"/>
    <w:rsid w:val="00B16A58"/>
    <w:rsid w:val="00B16FBC"/>
    <w:rsid w:val="00B20523"/>
    <w:rsid w:val="00B231D4"/>
    <w:rsid w:val="00B242C0"/>
    <w:rsid w:val="00B4166A"/>
    <w:rsid w:val="00B41BDA"/>
    <w:rsid w:val="00B42DB9"/>
    <w:rsid w:val="00B44083"/>
    <w:rsid w:val="00B4675C"/>
    <w:rsid w:val="00B474C1"/>
    <w:rsid w:val="00B543A3"/>
    <w:rsid w:val="00B56ED3"/>
    <w:rsid w:val="00B57D31"/>
    <w:rsid w:val="00B7298C"/>
    <w:rsid w:val="00B739F0"/>
    <w:rsid w:val="00B8016A"/>
    <w:rsid w:val="00B801EC"/>
    <w:rsid w:val="00B87469"/>
    <w:rsid w:val="00B904C3"/>
    <w:rsid w:val="00B94BBA"/>
    <w:rsid w:val="00B96A04"/>
    <w:rsid w:val="00B96CFD"/>
    <w:rsid w:val="00B976AA"/>
    <w:rsid w:val="00BA0EFD"/>
    <w:rsid w:val="00BA1BC2"/>
    <w:rsid w:val="00BA3112"/>
    <w:rsid w:val="00BA5245"/>
    <w:rsid w:val="00BA687A"/>
    <w:rsid w:val="00BA69F1"/>
    <w:rsid w:val="00BA7689"/>
    <w:rsid w:val="00BA7754"/>
    <w:rsid w:val="00BB0B33"/>
    <w:rsid w:val="00BB637E"/>
    <w:rsid w:val="00BC1FD6"/>
    <w:rsid w:val="00BC3394"/>
    <w:rsid w:val="00BC4282"/>
    <w:rsid w:val="00BC4F86"/>
    <w:rsid w:val="00BD1E43"/>
    <w:rsid w:val="00BD370B"/>
    <w:rsid w:val="00BD6BD4"/>
    <w:rsid w:val="00BD7175"/>
    <w:rsid w:val="00BE5BE2"/>
    <w:rsid w:val="00BE6438"/>
    <w:rsid w:val="00BF171E"/>
    <w:rsid w:val="00BF209A"/>
    <w:rsid w:val="00BF578F"/>
    <w:rsid w:val="00BF6AB0"/>
    <w:rsid w:val="00C01414"/>
    <w:rsid w:val="00C055D1"/>
    <w:rsid w:val="00C0787E"/>
    <w:rsid w:val="00C11F0B"/>
    <w:rsid w:val="00C126D6"/>
    <w:rsid w:val="00C142CF"/>
    <w:rsid w:val="00C14D9F"/>
    <w:rsid w:val="00C155E2"/>
    <w:rsid w:val="00C1785C"/>
    <w:rsid w:val="00C26D80"/>
    <w:rsid w:val="00C45248"/>
    <w:rsid w:val="00C4581E"/>
    <w:rsid w:val="00C50D08"/>
    <w:rsid w:val="00C55771"/>
    <w:rsid w:val="00C60015"/>
    <w:rsid w:val="00C6346D"/>
    <w:rsid w:val="00C67DAF"/>
    <w:rsid w:val="00C70995"/>
    <w:rsid w:val="00C75759"/>
    <w:rsid w:val="00C77FD2"/>
    <w:rsid w:val="00C801AF"/>
    <w:rsid w:val="00C82485"/>
    <w:rsid w:val="00C83A63"/>
    <w:rsid w:val="00C91DB6"/>
    <w:rsid w:val="00C92E44"/>
    <w:rsid w:val="00C94051"/>
    <w:rsid w:val="00C94525"/>
    <w:rsid w:val="00C95F09"/>
    <w:rsid w:val="00C97546"/>
    <w:rsid w:val="00CA18E1"/>
    <w:rsid w:val="00CA1F09"/>
    <w:rsid w:val="00CB1EDB"/>
    <w:rsid w:val="00CB2EE2"/>
    <w:rsid w:val="00CC10D9"/>
    <w:rsid w:val="00CC298C"/>
    <w:rsid w:val="00CC32DD"/>
    <w:rsid w:val="00CC3C47"/>
    <w:rsid w:val="00CD4FCD"/>
    <w:rsid w:val="00CD58B0"/>
    <w:rsid w:val="00CD6B68"/>
    <w:rsid w:val="00CD6B9D"/>
    <w:rsid w:val="00CD6EA8"/>
    <w:rsid w:val="00CE0EF2"/>
    <w:rsid w:val="00CE4529"/>
    <w:rsid w:val="00CF09D7"/>
    <w:rsid w:val="00CF3A71"/>
    <w:rsid w:val="00CF3C5D"/>
    <w:rsid w:val="00CF5740"/>
    <w:rsid w:val="00CF6796"/>
    <w:rsid w:val="00D02C69"/>
    <w:rsid w:val="00D063D9"/>
    <w:rsid w:val="00D067BB"/>
    <w:rsid w:val="00D13D29"/>
    <w:rsid w:val="00D22D9B"/>
    <w:rsid w:val="00D22FD7"/>
    <w:rsid w:val="00D25A97"/>
    <w:rsid w:val="00D30007"/>
    <w:rsid w:val="00D30028"/>
    <w:rsid w:val="00D33AB6"/>
    <w:rsid w:val="00D34A05"/>
    <w:rsid w:val="00D3545B"/>
    <w:rsid w:val="00D374C9"/>
    <w:rsid w:val="00D4063D"/>
    <w:rsid w:val="00D410BA"/>
    <w:rsid w:val="00D41879"/>
    <w:rsid w:val="00D42505"/>
    <w:rsid w:val="00D429C5"/>
    <w:rsid w:val="00D537E7"/>
    <w:rsid w:val="00D55E28"/>
    <w:rsid w:val="00D6128C"/>
    <w:rsid w:val="00D64BA0"/>
    <w:rsid w:val="00D660EF"/>
    <w:rsid w:val="00D674F7"/>
    <w:rsid w:val="00D6777D"/>
    <w:rsid w:val="00D67EFA"/>
    <w:rsid w:val="00D70511"/>
    <w:rsid w:val="00D708CD"/>
    <w:rsid w:val="00D70A27"/>
    <w:rsid w:val="00D70A67"/>
    <w:rsid w:val="00D72133"/>
    <w:rsid w:val="00D72FDF"/>
    <w:rsid w:val="00D8101D"/>
    <w:rsid w:val="00D82EC5"/>
    <w:rsid w:val="00D848EF"/>
    <w:rsid w:val="00D91F18"/>
    <w:rsid w:val="00D9699C"/>
    <w:rsid w:val="00D979FB"/>
    <w:rsid w:val="00DA1C39"/>
    <w:rsid w:val="00DA357F"/>
    <w:rsid w:val="00DA5CEC"/>
    <w:rsid w:val="00DB0053"/>
    <w:rsid w:val="00DB0BCA"/>
    <w:rsid w:val="00DB129B"/>
    <w:rsid w:val="00DB265D"/>
    <w:rsid w:val="00DB53D4"/>
    <w:rsid w:val="00DC7A71"/>
    <w:rsid w:val="00DD21AF"/>
    <w:rsid w:val="00DD302F"/>
    <w:rsid w:val="00DD381E"/>
    <w:rsid w:val="00DD67AA"/>
    <w:rsid w:val="00DE030A"/>
    <w:rsid w:val="00DE19C7"/>
    <w:rsid w:val="00DF17D9"/>
    <w:rsid w:val="00DF1AAA"/>
    <w:rsid w:val="00DF3177"/>
    <w:rsid w:val="00DF45A3"/>
    <w:rsid w:val="00E00F3E"/>
    <w:rsid w:val="00E02E61"/>
    <w:rsid w:val="00E04E70"/>
    <w:rsid w:val="00E103E3"/>
    <w:rsid w:val="00E113F8"/>
    <w:rsid w:val="00E11C75"/>
    <w:rsid w:val="00E12599"/>
    <w:rsid w:val="00E12A94"/>
    <w:rsid w:val="00E14A30"/>
    <w:rsid w:val="00E161AC"/>
    <w:rsid w:val="00E22F84"/>
    <w:rsid w:val="00E234F4"/>
    <w:rsid w:val="00E24872"/>
    <w:rsid w:val="00E248A7"/>
    <w:rsid w:val="00E30C22"/>
    <w:rsid w:val="00E319E4"/>
    <w:rsid w:val="00E322D8"/>
    <w:rsid w:val="00E32442"/>
    <w:rsid w:val="00E40E30"/>
    <w:rsid w:val="00E41395"/>
    <w:rsid w:val="00E431C9"/>
    <w:rsid w:val="00E4326C"/>
    <w:rsid w:val="00E52100"/>
    <w:rsid w:val="00E53118"/>
    <w:rsid w:val="00E54845"/>
    <w:rsid w:val="00E56370"/>
    <w:rsid w:val="00E56750"/>
    <w:rsid w:val="00E62B1A"/>
    <w:rsid w:val="00E6602F"/>
    <w:rsid w:val="00E67E90"/>
    <w:rsid w:val="00E7165D"/>
    <w:rsid w:val="00E812AE"/>
    <w:rsid w:val="00E817AE"/>
    <w:rsid w:val="00E85905"/>
    <w:rsid w:val="00E865D2"/>
    <w:rsid w:val="00E90DA1"/>
    <w:rsid w:val="00E9105E"/>
    <w:rsid w:val="00E92FC9"/>
    <w:rsid w:val="00EA1E4D"/>
    <w:rsid w:val="00EA4AC5"/>
    <w:rsid w:val="00EA5261"/>
    <w:rsid w:val="00EA775A"/>
    <w:rsid w:val="00EB5118"/>
    <w:rsid w:val="00EB7B5A"/>
    <w:rsid w:val="00EC1233"/>
    <w:rsid w:val="00EC2C5D"/>
    <w:rsid w:val="00EC353D"/>
    <w:rsid w:val="00EC7007"/>
    <w:rsid w:val="00ED2DE2"/>
    <w:rsid w:val="00ED5F97"/>
    <w:rsid w:val="00EE3795"/>
    <w:rsid w:val="00EF0385"/>
    <w:rsid w:val="00EF1DD1"/>
    <w:rsid w:val="00EF1E42"/>
    <w:rsid w:val="00EF2001"/>
    <w:rsid w:val="00EF248C"/>
    <w:rsid w:val="00EF28BD"/>
    <w:rsid w:val="00EF704A"/>
    <w:rsid w:val="00EF75F9"/>
    <w:rsid w:val="00EF7F03"/>
    <w:rsid w:val="00F01410"/>
    <w:rsid w:val="00F05DD8"/>
    <w:rsid w:val="00F07226"/>
    <w:rsid w:val="00F16B00"/>
    <w:rsid w:val="00F24CE5"/>
    <w:rsid w:val="00F27185"/>
    <w:rsid w:val="00F362C4"/>
    <w:rsid w:val="00F36DDC"/>
    <w:rsid w:val="00F44FAE"/>
    <w:rsid w:val="00F472B6"/>
    <w:rsid w:val="00F51903"/>
    <w:rsid w:val="00F567F0"/>
    <w:rsid w:val="00F57D9E"/>
    <w:rsid w:val="00F64D98"/>
    <w:rsid w:val="00F66A8E"/>
    <w:rsid w:val="00F71B4E"/>
    <w:rsid w:val="00F72B17"/>
    <w:rsid w:val="00F74DBB"/>
    <w:rsid w:val="00F77F39"/>
    <w:rsid w:val="00F8519E"/>
    <w:rsid w:val="00F85590"/>
    <w:rsid w:val="00F866B0"/>
    <w:rsid w:val="00F86BFC"/>
    <w:rsid w:val="00F93ADC"/>
    <w:rsid w:val="00F9467F"/>
    <w:rsid w:val="00F967EA"/>
    <w:rsid w:val="00FA0313"/>
    <w:rsid w:val="00FA2680"/>
    <w:rsid w:val="00FA3937"/>
    <w:rsid w:val="00FB12E6"/>
    <w:rsid w:val="00FB2A98"/>
    <w:rsid w:val="00FB42B4"/>
    <w:rsid w:val="00FB5A14"/>
    <w:rsid w:val="00FB6DFB"/>
    <w:rsid w:val="00FB6E07"/>
    <w:rsid w:val="00FC0969"/>
    <w:rsid w:val="00FC290E"/>
    <w:rsid w:val="00FC358A"/>
    <w:rsid w:val="00FC3DA6"/>
    <w:rsid w:val="00FC42DA"/>
    <w:rsid w:val="00FC6B69"/>
    <w:rsid w:val="00FC79BB"/>
    <w:rsid w:val="00FD08B4"/>
    <w:rsid w:val="00FD0C56"/>
    <w:rsid w:val="00FD2B1C"/>
    <w:rsid w:val="00FE2498"/>
    <w:rsid w:val="00FE4B95"/>
    <w:rsid w:val="00FE76B1"/>
    <w:rsid w:val="00FF0351"/>
    <w:rsid w:val="00FF07A3"/>
    <w:rsid w:val="00FF08CC"/>
    <w:rsid w:val="00FF54EC"/>
    <w:rsid w:val="00FF5B1C"/>
    <w:rsid w:val="00FF733C"/>
    <w:rsid w:val="255B3AD4"/>
    <w:rsid w:val="35B209F2"/>
    <w:rsid w:val="411B561D"/>
    <w:rsid w:val="77DB6D2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3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fr-FR" w:eastAsia="fr-FR" w:bidi="ar-SA"/>
    </w:rPr>
  </w:style>
  <w:style w:type="paragraph" w:styleId="2">
    <w:name w:val="heading 1"/>
    <w:basedOn w:val="1"/>
    <w:next w:val="1"/>
    <w:qFormat/>
    <w:uiPriority w:val="9"/>
    <w:pPr>
      <w:keepNext/>
      <w:keepLines/>
      <w:spacing w:before="480" w:after="0"/>
      <w:outlineLvl w:val="0"/>
    </w:pPr>
    <w:rPr>
      <w:rFonts w:ascii="Cambria" w:hAnsi="Cambria" w:eastAsia="Cambria" w:cs="Cambria"/>
      <w:b/>
      <w:color w:val="366091"/>
      <w:sz w:val="28"/>
      <w:szCs w:val="2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styleId="10">
    <w:name w:val="HTML Cite"/>
    <w:basedOn w:val="8"/>
    <w:semiHidden/>
    <w:unhideWhenUsed/>
    <w:uiPriority w:val="99"/>
    <w:rPr>
      <w:i/>
      <w:iCs/>
    </w:rPr>
  </w:style>
  <w:style w:type="character" w:styleId="11">
    <w:name w:val="Strong"/>
    <w:basedOn w:val="8"/>
    <w:qFormat/>
    <w:uiPriority w:val="22"/>
    <w:rPr>
      <w:b/>
      <w:bCs/>
    </w:rPr>
  </w:style>
  <w:style w:type="character" w:styleId="12">
    <w:name w:val="Emphasis"/>
    <w:basedOn w:val="8"/>
    <w:qFormat/>
    <w:uiPriority w:val="20"/>
    <w:rPr>
      <w:i/>
      <w:iCs/>
    </w:rPr>
  </w:style>
  <w:style w:type="character" w:styleId="13">
    <w:name w:val="FollowedHyperlink"/>
    <w:basedOn w:val="8"/>
    <w:semiHidden/>
    <w:unhideWhenUsed/>
    <w:uiPriority w:val="99"/>
    <w:rPr>
      <w:color w:val="800080" w:themeColor="followedHyperlink"/>
      <w:u w:val="single"/>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Normal (Web)"/>
    <w:basedOn w:val="1"/>
    <w:unhideWhenUsed/>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16">
    <w:name w:val="footer"/>
    <w:basedOn w:val="1"/>
    <w:link w:val="34"/>
    <w:unhideWhenUsed/>
    <w:uiPriority w:val="99"/>
    <w:pPr>
      <w:tabs>
        <w:tab w:val="center" w:pos="4513"/>
        <w:tab w:val="right" w:pos="9026"/>
      </w:tabs>
      <w:spacing w:after="0" w:line="240" w:lineRule="auto"/>
    </w:pPr>
  </w:style>
  <w:style w:type="paragraph" w:styleId="17">
    <w:name w:val="header"/>
    <w:basedOn w:val="1"/>
    <w:link w:val="33"/>
    <w:unhideWhenUsed/>
    <w:uiPriority w:val="99"/>
    <w:pPr>
      <w:tabs>
        <w:tab w:val="center" w:pos="4513"/>
        <w:tab w:val="right" w:pos="9026"/>
      </w:tabs>
      <w:spacing w:after="0" w:line="240" w:lineRule="auto"/>
    </w:pPr>
  </w:style>
  <w:style w:type="paragraph" w:styleId="18">
    <w:name w:val="Title"/>
    <w:basedOn w:val="1"/>
    <w:next w:val="1"/>
    <w:qFormat/>
    <w:uiPriority w:val="10"/>
    <w:pPr>
      <w:keepNext/>
      <w:keepLines/>
      <w:spacing w:before="480" w:after="120"/>
    </w:pPr>
    <w:rPr>
      <w:b/>
      <w:sz w:val="72"/>
      <w:szCs w:val="72"/>
    </w:rPr>
  </w:style>
  <w:style w:type="table" w:customStyle="1" w:styleId="20">
    <w:name w:val="Table Normal"/>
    <w:uiPriority w:val="0"/>
    <w:tblPr>
      <w:tblCellMar>
        <w:top w:w="0" w:type="dxa"/>
        <w:left w:w="0" w:type="dxa"/>
        <w:bottom w:w="0" w:type="dxa"/>
        <w:right w:w="0" w:type="dxa"/>
      </w:tblCellMar>
    </w:tblPr>
  </w:style>
  <w:style w:type="table" w:customStyle="1" w:styleId="21">
    <w:name w:val="_Style 12"/>
    <w:basedOn w:val="20"/>
    <w:uiPriority w:val="0"/>
    <w:pPr>
      <w:spacing w:after="0" w:line="240" w:lineRule="auto"/>
    </w:pPr>
    <w:rPr>
      <w:color w:val="31849B"/>
    </w:rPr>
    <w:tblPr>
      <w:tblCellMar>
        <w:top w:w="0" w:type="dxa"/>
        <w:left w:w="115" w:type="dxa"/>
        <w:bottom w:w="0" w:type="dxa"/>
        <w:right w:w="115" w:type="dxa"/>
      </w:tblCellMar>
    </w:tblPr>
    <w:tcPr>
      <w:shd w:val="clear" w:color="auto" w:fill="DBEEF3"/>
    </w:tcPr>
    <w:tblStylePr w:type="firstRow">
      <w:pPr>
        <w:spacing w:before="0" w:after="0" w:line="240" w:lineRule="auto"/>
      </w:pPr>
      <w:rPr>
        <w:rFonts w:ascii="Cambria" w:hAnsi="Cambria" w:eastAsia="Cambria" w:cs="Cambria"/>
        <w:b/>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0"/>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0"/>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2">
    <w:name w:val="_Style 13"/>
    <w:basedOn w:val="20"/>
    <w:uiPriority w:val="0"/>
    <w:pPr>
      <w:spacing w:after="0" w:line="240" w:lineRule="auto"/>
    </w:pPr>
    <w:rPr>
      <w:color w:val="31849B"/>
    </w:rPr>
    <w:tblPr>
      <w:tblCellMar>
        <w:top w:w="0" w:type="dxa"/>
        <w:left w:w="115" w:type="dxa"/>
        <w:bottom w:w="0" w:type="dxa"/>
        <w:right w:w="115" w:type="dxa"/>
      </w:tblCellMar>
    </w:tblPr>
    <w:tcPr>
      <w:shd w:val="clear" w:color="auto" w:fill="DBEEF3"/>
    </w:tcPr>
    <w:tblStylePr w:type="firstRow">
      <w:rPr>
        <w:b/>
      </w:rPr>
      <w:tcPr>
        <w:shd w:val="clear" w:color="auto" w:fill="B7DDE8"/>
      </w:tcPr>
    </w:tblStylePr>
    <w:tblStylePr w:type="lastRow">
      <w:rPr>
        <w:b/>
        <w:color w:val="000000"/>
      </w:rPr>
      <w:tcPr>
        <w:shd w:val="clear" w:color="auto" w:fill="B7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character" w:customStyle="1" w:styleId="23">
    <w:name w:val="ouvrage"/>
    <w:basedOn w:val="8"/>
    <w:uiPriority w:val="0"/>
  </w:style>
  <w:style w:type="character" w:customStyle="1" w:styleId="24">
    <w:name w:val="italique"/>
    <w:basedOn w:val="8"/>
    <w:uiPriority w:val="0"/>
  </w:style>
  <w:style w:type="character" w:customStyle="1" w:styleId="25">
    <w:name w:val="nom_auteur"/>
    <w:basedOn w:val="8"/>
    <w:uiPriority w:val="0"/>
  </w:style>
  <w:style w:type="paragraph" w:styleId="26">
    <w:name w:val="List Paragraph"/>
    <w:basedOn w:val="1"/>
    <w:qFormat/>
    <w:uiPriority w:val="34"/>
    <w:pPr>
      <w:spacing w:after="160" w:line="259" w:lineRule="auto"/>
      <w:ind w:left="720"/>
      <w:contextualSpacing/>
    </w:pPr>
    <w:rPr>
      <w:rFonts w:asciiTheme="minorHAnsi" w:hAnsiTheme="minorHAnsi" w:eastAsiaTheme="minorEastAsia" w:cstheme="minorBidi"/>
    </w:rPr>
  </w:style>
  <w:style w:type="character" w:customStyle="1" w:styleId="27">
    <w:name w:val="tribe-address"/>
    <w:basedOn w:val="8"/>
    <w:uiPriority w:val="0"/>
  </w:style>
  <w:style w:type="character" w:customStyle="1" w:styleId="28">
    <w:name w:val="tribe-street-address"/>
    <w:basedOn w:val="8"/>
    <w:uiPriority w:val="0"/>
  </w:style>
  <w:style w:type="character" w:customStyle="1" w:styleId="29">
    <w:name w:val="tribe-locality"/>
    <w:basedOn w:val="8"/>
    <w:uiPriority w:val="0"/>
  </w:style>
  <w:style w:type="character" w:customStyle="1" w:styleId="30">
    <w:name w:val="tribe-delimiter"/>
    <w:basedOn w:val="8"/>
    <w:uiPriority w:val="0"/>
  </w:style>
  <w:style w:type="character" w:customStyle="1" w:styleId="31">
    <w:name w:val="tribe-country-name"/>
    <w:basedOn w:val="8"/>
    <w:uiPriority w:val="0"/>
  </w:style>
  <w:style w:type="table" w:styleId="32">
    <w:name w:val="Table Grid"/>
    <w:basedOn w:val="1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En-tête Car"/>
    <w:basedOn w:val="8"/>
    <w:link w:val="17"/>
    <w:uiPriority w:val="99"/>
  </w:style>
  <w:style w:type="character" w:customStyle="1" w:styleId="34">
    <w:name w:val="Pied de page Car"/>
    <w:basedOn w:val="8"/>
    <w:link w:val="16"/>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2196</Words>
  <Characters>12078</Characters>
  <Lines>100</Lines>
  <Paragraphs>28</Paragraphs>
  <TotalTime>38</TotalTime>
  <ScaleCrop>false</ScaleCrop>
  <LinksUpToDate>false</LinksUpToDate>
  <CharactersWithSpaces>14246</CharactersWithSpaces>
  <Application>WPS Office_12.2.0.13306_F1E327BC-269C-435d-A152-05C5408002CA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2022-02-14T21:02:00Z</dcterms:created>
  <dc:creator>user</dc:creator>
  <cp:lastModifiedBy>Sara Himour</cp:lastModifiedBy>
  <dcterms:modified xsi:type="dcterms:W3CDTF">2023-12-08T22:12:29Z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1036-12.2.0.13306</vt:lpwstr>
  </property>
  <property fmtid="{D5CDD505-2E9C-101B-9397-08002B2CF9AE}" pid="3" name="ICV">
    <vt:lpwstr>6AAFA6992195442E92034C0D770E83F4_13</vt:lpwstr>
  </property>
</Properties>
</file>