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F3F8D7" w14:textId="59DF26C2" w:rsidR="00745745" w:rsidRDefault="007677A5">
      <w:pPr>
        <w:rPr>
          <w:rFonts w:ascii="Times New Roman" w:hAnsi="Times New Roman" w:cs="Times New Roman"/>
          <w:b/>
          <w:bCs/>
          <w:sz w:val="24"/>
          <w:szCs w:val="24"/>
        </w:rPr>
      </w:pPr>
      <w:r w:rsidRPr="007677A5">
        <w:rPr>
          <w:rFonts w:ascii="Times New Roman" w:hAnsi="Times New Roman" w:cs="Times New Roman"/>
          <w:b/>
          <w:bCs/>
          <w:sz w:val="24"/>
          <w:szCs w:val="24"/>
        </w:rPr>
        <w:t>LECTURE THREE</w:t>
      </w:r>
    </w:p>
    <w:p w14:paraId="375AC4EA" w14:textId="77777777" w:rsidR="007677A5" w:rsidRDefault="007677A5" w:rsidP="007677A5">
      <w:pPr>
        <w:pStyle w:val="ListParagraph"/>
        <w:numPr>
          <w:ilvl w:val="0"/>
          <w:numId w:val="1"/>
        </w:numPr>
        <w:spacing w:line="48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The History of Computer Assisted Language Learning</w:t>
      </w:r>
    </w:p>
    <w:p w14:paraId="30412092" w14:textId="77777777" w:rsidR="007677A5" w:rsidRDefault="007677A5" w:rsidP="007677A5">
      <w:pPr>
        <w:spacing w:line="48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Variation and shift in second language acquisition theories marked and is reflected in the evolution of CALL overtime. Henceforth, the history of CALL can be divided into three main eras: the behaviouristic, the communicative and the integrative era.</w:t>
      </w:r>
    </w:p>
    <w:p w14:paraId="4D8B5987" w14:textId="77777777" w:rsidR="007677A5" w:rsidRDefault="007677A5" w:rsidP="007677A5">
      <w:pPr>
        <w:pStyle w:val="ListParagraph"/>
        <w:numPr>
          <w:ilvl w:val="1"/>
          <w:numId w:val="1"/>
        </w:numPr>
        <w:tabs>
          <w:tab w:val="left" w:pos="5535"/>
        </w:tabs>
        <w:spacing w:line="48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The Behaviouristic Era</w:t>
      </w:r>
    </w:p>
    <w:p w14:paraId="75F67DBC" w14:textId="77777777" w:rsidR="007677A5" w:rsidRDefault="007677A5" w:rsidP="007677A5">
      <w:pPr>
        <w:tabs>
          <w:tab w:val="left" w:pos="851"/>
        </w:tabs>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At the beginning, during the 1960s and 1970s, the use of technology was influenced by behaviouristic learning and structural linguistics; it was restricted to student-computer interactions to practice grammatical and lexical drills or to do some transformation exercises </w:t>
      </w:r>
      <w:proofErr w:type="gramStart"/>
      <w:r>
        <w:rPr>
          <w:rFonts w:ascii="Times New Roman" w:hAnsi="Times New Roman" w:cs="Times New Roman"/>
          <w:sz w:val="24"/>
          <w:szCs w:val="24"/>
          <w:lang w:val="en-GB"/>
        </w:rPr>
        <w:t>i.e.</w:t>
      </w:r>
      <w:proofErr w:type="gramEnd"/>
      <w:r>
        <w:rPr>
          <w:rFonts w:ascii="Times New Roman" w:hAnsi="Times New Roman" w:cs="Times New Roman"/>
          <w:sz w:val="24"/>
          <w:szCs w:val="24"/>
          <w:lang w:val="en-GB"/>
        </w:rPr>
        <w:t xml:space="preserve"> focus was on language itself (vocabulary and grammar). At this period, the computer played the role of a ‘tutor’ that provided learners with grammar and vocabulary exercises (see Appendix A for sample activities), then, gave them feedback at the learners’ pace. It was sometimes used to replace the teacher (Brett &amp; </w:t>
      </w:r>
      <w:proofErr w:type="spellStart"/>
      <w:r>
        <w:rPr>
          <w:rFonts w:ascii="Times New Roman" w:hAnsi="Times New Roman" w:cs="Times New Roman"/>
          <w:sz w:val="24"/>
          <w:szCs w:val="24"/>
          <w:lang w:val="en-GB"/>
        </w:rPr>
        <w:t>Gonzàlez-LLoret</w:t>
      </w:r>
      <w:proofErr w:type="spellEnd"/>
      <w:r>
        <w:rPr>
          <w:rFonts w:ascii="Times New Roman" w:hAnsi="Times New Roman" w:cs="Times New Roman"/>
          <w:sz w:val="24"/>
          <w:szCs w:val="24"/>
          <w:lang w:val="en-GB"/>
        </w:rPr>
        <w:t xml:space="preserve">, 2009; </w:t>
      </w:r>
      <w:proofErr w:type="spellStart"/>
      <w:r>
        <w:rPr>
          <w:rFonts w:ascii="Times New Roman" w:hAnsi="Times New Roman" w:cs="Times New Roman"/>
          <w:sz w:val="24"/>
          <w:szCs w:val="24"/>
          <w:lang w:val="en-GB"/>
        </w:rPr>
        <w:t>LeBaron</w:t>
      </w:r>
      <w:proofErr w:type="spellEnd"/>
      <w:r>
        <w:rPr>
          <w:rFonts w:ascii="Times New Roman" w:hAnsi="Times New Roman" w:cs="Times New Roman"/>
          <w:sz w:val="24"/>
          <w:szCs w:val="24"/>
          <w:lang w:val="en-GB"/>
        </w:rPr>
        <w:t>-Earle, 2013).</w:t>
      </w:r>
    </w:p>
    <w:p w14:paraId="0C429281" w14:textId="77777777" w:rsidR="007677A5" w:rsidRDefault="007677A5" w:rsidP="007677A5">
      <w:pPr>
        <w:spacing w:line="480" w:lineRule="auto"/>
        <w:jc w:val="both"/>
        <w:rPr>
          <w:rFonts w:ascii="Times New Roman" w:hAnsi="Times New Roman" w:cs="Times New Roman"/>
          <w:sz w:val="24"/>
          <w:szCs w:val="24"/>
        </w:rPr>
      </w:pPr>
      <w:r>
        <w:rPr>
          <w:rFonts w:ascii="Times New Roman" w:hAnsi="Times New Roman" w:cs="Times New Roman"/>
          <w:sz w:val="24"/>
          <w:szCs w:val="24"/>
          <w:lang w:val="en-GB"/>
        </w:rPr>
        <w:t xml:space="preserve">             PLATO (Programmed Logic for Automatic Teaching Operations) and TICCIT (Time-shared, Interactive, Computer Controlled Information Television) project were created in American universities and best illustrate this era. </w:t>
      </w:r>
      <w:r>
        <w:rPr>
          <w:rFonts w:ascii="Times New Roman" w:eastAsia="Calibri" w:hAnsi="Times New Roman" w:cs="Times New Roman"/>
          <w:sz w:val="24"/>
          <w:szCs w:val="24"/>
        </w:rPr>
        <w:t>The first version of PLATO, in 1960, consisted of a single term</w:t>
      </w:r>
      <w:r>
        <w:rPr>
          <w:rFonts w:ascii="Times New Roman" w:hAnsi="Times New Roman" w:cs="Times New Roman"/>
          <w:sz w:val="24"/>
          <w:szCs w:val="24"/>
        </w:rPr>
        <w:t>inal</w:t>
      </w:r>
      <w:r>
        <w:rPr>
          <w:rFonts w:ascii="Times New Roman" w:eastAsia="Calibri" w:hAnsi="Times New Roman" w:cs="Times New Roman"/>
          <w:sz w:val="24"/>
          <w:szCs w:val="24"/>
        </w:rPr>
        <w:t>.</w:t>
      </w:r>
      <w:r>
        <w:rPr>
          <w:rFonts w:ascii="Times New Roman" w:hAnsi="Times New Roman" w:cs="Times New Roman"/>
          <w:sz w:val="24"/>
          <w:szCs w:val="24"/>
        </w:rPr>
        <w:t xml:space="preserve"> </w:t>
      </w:r>
      <w:r>
        <w:rPr>
          <w:rFonts w:ascii="Times New Roman" w:eastAsia="Calibri" w:hAnsi="Times New Roman" w:cs="Times New Roman"/>
          <w:sz w:val="24"/>
          <w:szCs w:val="24"/>
        </w:rPr>
        <w:t xml:space="preserve">By 1975, the </w:t>
      </w:r>
      <w:r>
        <w:rPr>
          <w:rFonts w:ascii="Times New Roman" w:eastAsia="Calibri" w:hAnsi="Times New Roman" w:cs="Times New Roman"/>
          <w:i/>
          <w:iCs/>
          <w:sz w:val="24"/>
          <w:szCs w:val="24"/>
        </w:rPr>
        <w:t>PLATO IV</w:t>
      </w:r>
      <w:r>
        <w:rPr>
          <w:rFonts w:ascii="Times New Roman" w:eastAsia="Calibri" w:hAnsi="Times New Roman" w:cs="Times New Roman"/>
          <w:sz w:val="24"/>
          <w:szCs w:val="24"/>
        </w:rPr>
        <w:t xml:space="preserve"> system consisted of over 900 terminals at 146 different sites</w:t>
      </w:r>
      <w:r>
        <w:rPr>
          <w:rFonts w:ascii="Times New Roman" w:hAnsi="Times New Roman" w:cs="Times New Roman"/>
          <w:sz w:val="24"/>
          <w:szCs w:val="24"/>
        </w:rPr>
        <w:t>. The aim of the PLATO</w:t>
      </w:r>
      <w:r>
        <w:rPr>
          <w:rFonts w:ascii="Times New Roman" w:eastAsia="Calibri" w:hAnsi="Times New Roman" w:cs="Times New Roman"/>
          <w:sz w:val="24"/>
          <w:szCs w:val="24"/>
        </w:rPr>
        <w:t xml:space="preserve"> project </w:t>
      </w:r>
      <w:r>
        <w:rPr>
          <w:rFonts w:ascii="Times New Roman" w:hAnsi="Times New Roman" w:cs="Times New Roman"/>
          <w:sz w:val="24"/>
          <w:szCs w:val="24"/>
        </w:rPr>
        <w:t>was</w:t>
      </w:r>
      <w:r>
        <w:rPr>
          <w:rFonts w:ascii="Times New Roman" w:eastAsia="Calibri" w:hAnsi="Times New Roman" w:cs="Times New Roman"/>
          <w:sz w:val="24"/>
          <w:szCs w:val="24"/>
        </w:rPr>
        <w:t xml:space="preserve"> to </w:t>
      </w:r>
      <w:r>
        <w:rPr>
          <w:rFonts w:ascii="Times New Roman" w:hAnsi="Times New Roman" w:cs="Times New Roman"/>
          <w:sz w:val="24"/>
          <w:szCs w:val="24"/>
        </w:rPr>
        <w:t>introduce the computer to</w:t>
      </w:r>
      <w:r>
        <w:rPr>
          <w:rFonts w:ascii="Times New Roman" w:eastAsia="Calibri" w:hAnsi="Times New Roman" w:cs="Times New Roman"/>
          <w:sz w:val="24"/>
          <w:szCs w:val="24"/>
        </w:rPr>
        <w:t xml:space="preserve"> </w:t>
      </w:r>
    </w:p>
    <w:p w14:paraId="70FB266B" w14:textId="313129B2" w:rsidR="007677A5" w:rsidRDefault="007677A5" w:rsidP="007677A5">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fr-FR"/>
        </w:rPr>
        <w:lastRenderedPageBreak/>
        <w:drawing>
          <wp:inline distT="0" distB="0" distL="0" distR="0" wp14:anchorId="15FA2E7D" wp14:editId="5D9B7DAC">
            <wp:extent cx="5000625" cy="2057400"/>
            <wp:effectExtent l="19050" t="19050" r="28575" b="0"/>
            <wp:docPr id="5" name="Picture 5" descr="D:\CALL\Pictures\20191214_113137.jpg"/>
            <wp:cNvGraphicFramePr/>
            <a:graphic xmlns:a="http://schemas.openxmlformats.org/drawingml/2006/main">
              <a:graphicData uri="http://schemas.openxmlformats.org/drawingml/2006/picture">
                <pic:pic xmlns:pic="http://schemas.openxmlformats.org/drawingml/2006/picture">
                  <pic:nvPicPr>
                    <pic:cNvPr id="5" name="Picture 3" descr="D:\CALL\Pictures\20191214_113137.jpg"/>
                    <pic:cNvPicPr/>
                  </pic:nvPicPr>
                  <pic:blipFill>
                    <a:blip r:embed="rId5">
                      <a:clrChange>
                        <a:clrFrom>
                          <a:srgbClr val="000000"/>
                        </a:clrFrom>
                        <a:clrTo>
                          <a:srgbClr val="000000">
                            <a:alpha val="0"/>
                          </a:srgbClr>
                        </a:clrTo>
                      </a:clrChange>
                      <a:duotone>
                        <a:prstClr val="black"/>
                        <a:schemeClr val="bg1">
                          <a:tint val="45000"/>
                          <a:satMod val="400000"/>
                        </a:schemeClr>
                      </a:duotone>
                    </a:blip>
                    <a:srcRect/>
                    <a:stretch>
                      <a:fillRect/>
                    </a:stretch>
                  </pic:blipFill>
                  <pic:spPr bwMode="auto">
                    <a:xfrm>
                      <a:off x="0" y="0"/>
                      <a:ext cx="4972050" cy="2028825"/>
                    </a:xfrm>
                    <a:prstGeom prst="rect">
                      <a:avLst/>
                    </a:prstGeom>
                    <a:blipFill>
                      <a:blip r:embed="rId6"/>
                      <a:tile tx="0" ty="0" sx="100000" sy="100000" flip="none" algn="tl"/>
                    </a:blipFill>
                    <a:ln w="9525">
                      <a:solidFill>
                        <a:schemeClr val="bg1"/>
                      </a:solidFill>
                      <a:miter lim="800000"/>
                      <a:headEnd/>
                      <a:tailEnd/>
                    </a:ln>
                  </pic:spPr>
                </pic:pic>
              </a:graphicData>
            </a:graphic>
          </wp:inline>
        </w:drawing>
      </w:r>
    </w:p>
    <w:p w14:paraId="6DFDC29E" w14:textId="48204600" w:rsidR="007677A5" w:rsidRDefault="007677A5" w:rsidP="007677A5">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fr-FR"/>
        </w:rPr>
        <w:drawing>
          <wp:inline distT="0" distB="0" distL="0" distR="0" wp14:anchorId="39D61EBE" wp14:editId="5C085E8E">
            <wp:extent cx="5943600" cy="32480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5943600" cy="3248025"/>
                    </a:xfrm>
                    <a:prstGeom prst="rect">
                      <a:avLst/>
                    </a:prstGeom>
                    <a:noFill/>
                    <a:ln>
                      <a:noFill/>
                    </a:ln>
                  </pic:spPr>
                </pic:pic>
              </a:graphicData>
            </a:graphic>
          </wp:inline>
        </w:drawing>
      </w:r>
    </w:p>
    <w:p w14:paraId="3B200908" w14:textId="77777777" w:rsidR="007677A5" w:rsidRDefault="007677A5" w:rsidP="007677A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education. </w:t>
      </w:r>
      <w:r>
        <w:rPr>
          <w:rFonts w:ascii="Times New Roman" w:eastAsia="Calibri" w:hAnsi="Times New Roman" w:cs="Times New Roman"/>
          <w:sz w:val="24"/>
          <w:szCs w:val="24"/>
        </w:rPr>
        <w:t>TICCIT</w:t>
      </w:r>
      <w:r>
        <w:rPr>
          <w:rFonts w:ascii="Times New Roman" w:hAnsi="Times New Roman" w:cs="Times New Roman"/>
          <w:sz w:val="24"/>
          <w:szCs w:val="24"/>
        </w:rPr>
        <w:t xml:space="preserve"> was launched </w:t>
      </w:r>
      <w:r>
        <w:rPr>
          <w:rFonts w:ascii="Times New Roman" w:eastAsia="Calibri" w:hAnsi="Times New Roman" w:cs="Times New Roman"/>
          <w:sz w:val="24"/>
          <w:szCs w:val="24"/>
        </w:rPr>
        <w:t xml:space="preserve">in the early 1970’s, </w:t>
      </w:r>
      <w:r>
        <w:rPr>
          <w:rFonts w:ascii="Times New Roman" w:hAnsi="Times New Roman" w:cs="Times New Roman"/>
          <w:sz w:val="24"/>
          <w:szCs w:val="24"/>
        </w:rPr>
        <w:t xml:space="preserve">it </w:t>
      </w:r>
      <w:r>
        <w:rPr>
          <w:rFonts w:ascii="Times New Roman" w:eastAsia="Calibri" w:hAnsi="Times New Roman" w:cs="Times New Roman"/>
          <w:sz w:val="24"/>
          <w:szCs w:val="24"/>
        </w:rPr>
        <w:t xml:space="preserve">utilized </w:t>
      </w:r>
      <w:r>
        <w:rPr>
          <w:rFonts w:ascii="Times New Roman" w:hAnsi="Times New Roman" w:cs="Times New Roman"/>
          <w:sz w:val="24"/>
          <w:szCs w:val="24"/>
        </w:rPr>
        <w:t>the</w:t>
      </w:r>
      <w:r>
        <w:rPr>
          <w:rFonts w:ascii="Times New Roman" w:eastAsia="Calibri" w:hAnsi="Times New Roman" w:cs="Times New Roman"/>
          <w:sz w:val="24"/>
          <w:szCs w:val="24"/>
        </w:rPr>
        <w:t xml:space="preserve"> minicomputers as </w:t>
      </w:r>
      <w:r>
        <w:rPr>
          <w:rFonts w:ascii="Times New Roman" w:hAnsi="Times New Roman" w:cs="Times New Roman"/>
          <w:sz w:val="24"/>
          <w:szCs w:val="24"/>
        </w:rPr>
        <w:t xml:space="preserve">the </w:t>
      </w:r>
      <w:r>
        <w:rPr>
          <w:rFonts w:ascii="Times New Roman" w:eastAsia="Calibri" w:hAnsi="Times New Roman" w:cs="Times New Roman"/>
          <w:sz w:val="24"/>
          <w:szCs w:val="24"/>
        </w:rPr>
        <w:t>engines for learning environments instead of the mainframes used for the PLATO project</w:t>
      </w:r>
      <w:r>
        <w:rPr>
          <w:rFonts w:ascii="Times New Roman" w:hAnsi="Times New Roman" w:cs="Times New Roman"/>
          <w:sz w:val="24"/>
          <w:szCs w:val="24"/>
        </w:rPr>
        <w:t xml:space="preserve"> (Hagler and Marcy, 1999). TICCIT is thought to be the first computer system that integrated text, audio and video multimedia, but with remarkable difficulties in usage (Le Baron-Earle, 2013 p. 51)</w:t>
      </w:r>
    </w:p>
    <w:p w14:paraId="57074575" w14:textId="4C60673E" w:rsidR="007677A5" w:rsidRDefault="007677A5" w:rsidP="007677A5">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fr-FR"/>
        </w:rPr>
        <w:lastRenderedPageBreak/>
        <w:drawing>
          <wp:inline distT="0" distB="0" distL="0" distR="0" wp14:anchorId="666634BD" wp14:editId="0B0EA86F">
            <wp:extent cx="2971800" cy="2295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1800" cy="2295525"/>
                    </a:xfrm>
                    <a:prstGeom prst="rect">
                      <a:avLst/>
                    </a:prstGeom>
                    <a:noFill/>
                    <a:ln>
                      <a:noFill/>
                    </a:ln>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lang w:eastAsia="fr-FR"/>
        </w:rPr>
        <w:drawing>
          <wp:inline distT="0" distB="0" distL="0" distR="0" wp14:anchorId="7A022F11" wp14:editId="58631898">
            <wp:extent cx="2314575" cy="1800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4575" cy="1800225"/>
                    </a:xfrm>
                    <a:prstGeom prst="rect">
                      <a:avLst/>
                    </a:prstGeom>
                    <a:noFill/>
                    <a:ln>
                      <a:noFill/>
                    </a:ln>
                  </pic:spPr>
                </pic:pic>
              </a:graphicData>
            </a:graphic>
          </wp:inline>
        </w:drawing>
      </w:r>
    </w:p>
    <w:p w14:paraId="4D007344" w14:textId="77777777" w:rsidR="007677A5" w:rsidRDefault="007677A5" w:rsidP="007677A5">
      <w:pPr>
        <w:tabs>
          <w:tab w:val="left" w:pos="851"/>
        </w:tabs>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However, these programs were linear </w:t>
      </w:r>
      <w:proofErr w:type="gramStart"/>
      <w:r>
        <w:rPr>
          <w:rFonts w:ascii="Times New Roman" w:hAnsi="Times New Roman" w:cs="Times New Roman"/>
          <w:sz w:val="24"/>
          <w:szCs w:val="24"/>
          <w:lang w:val="en-GB"/>
        </w:rPr>
        <w:t>i.e.</w:t>
      </w:r>
      <w:proofErr w:type="gramEnd"/>
      <w:r>
        <w:rPr>
          <w:rFonts w:ascii="Times New Roman" w:hAnsi="Times New Roman" w:cs="Times New Roman"/>
          <w:sz w:val="24"/>
          <w:szCs w:val="24"/>
          <w:lang w:val="en-GB"/>
        </w:rPr>
        <w:t xml:space="preserve"> they required learners to follow the same steps with rewards for correct answers, then, advancement to more difficult level. The tasks were typical to those in traditional textbooks, in other words, they did not profit from the features of the computer. Besides, other major weaknesses that were noticed within this phase were the lack of embodiment or contextualizing the language learnt, the absence of the teacher, together with a failure in fulfilling learners’ needs including speaking and listening (Jordan et.al. 2008 p. 228; </w:t>
      </w:r>
      <w:proofErr w:type="spellStart"/>
      <w:r>
        <w:rPr>
          <w:rFonts w:ascii="Times New Roman" w:hAnsi="Times New Roman" w:cs="Times New Roman"/>
          <w:sz w:val="24"/>
          <w:szCs w:val="24"/>
          <w:lang w:val="en-GB"/>
        </w:rPr>
        <w:t>LeBaron</w:t>
      </w:r>
      <w:proofErr w:type="spellEnd"/>
      <w:r>
        <w:rPr>
          <w:rFonts w:ascii="Times New Roman" w:hAnsi="Times New Roman" w:cs="Times New Roman"/>
          <w:sz w:val="24"/>
          <w:szCs w:val="24"/>
          <w:lang w:val="en-GB"/>
        </w:rPr>
        <w:t>-Earle, 2013).</w:t>
      </w:r>
    </w:p>
    <w:p w14:paraId="2552E8C6" w14:textId="77777777" w:rsidR="007677A5" w:rsidRDefault="007677A5" w:rsidP="007677A5">
      <w:pPr>
        <w:pStyle w:val="ListParagraph"/>
        <w:numPr>
          <w:ilvl w:val="1"/>
          <w:numId w:val="1"/>
        </w:numPr>
        <w:tabs>
          <w:tab w:val="left" w:pos="5535"/>
        </w:tabs>
        <w:spacing w:line="48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The Communicative Era</w:t>
      </w:r>
    </w:p>
    <w:p w14:paraId="78B8AB13" w14:textId="77777777" w:rsidR="007677A5" w:rsidRDefault="007677A5" w:rsidP="007677A5">
      <w:pPr>
        <w:tabs>
          <w:tab w:val="left" w:pos="5535"/>
        </w:tabs>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With the advent of the communicative approach, the focus shifted to be put on meaning, on the communicative competence and on the four skills. Therefore, the role and the use of computers changed from a tool for individual learning (or a tutor) to a tool that facilitates interaction (Brett &amp; </w:t>
      </w:r>
      <w:proofErr w:type="spellStart"/>
      <w:r>
        <w:rPr>
          <w:rFonts w:ascii="Times New Roman" w:hAnsi="Times New Roman" w:cs="Times New Roman"/>
          <w:sz w:val="24"/>
          <w:szCs w:val="24"/>
          <w:lang w:val="en-GB"/>
        </w:rPr>
        <w:t>Gonzàlez-LLoret</w:t>
      </w:r>
      <w:proofErr w:type="spellEnd"/>
      <w:r>
        <w:rPr>
          <w:rFonts w:ascii="Times New Roman" w:hAnsi="Times New Roman" w:cs="Times New Roman"/>
          <w:sz w:val="24"/>
          <w:szCs w:val="24"/>
          <w:lang w:val="en-GB"/>
        </w:rPr>
        <w:t xml:space="preserve">, 2009), although learners did not interact with other humans but with characters. </w:t>
      </w:r>
    </w:p>
    <w:p w14:paraId="5F87EC1D" w14:textId="77777777" w:rsidR="007677A5" w:rsidRDefault="007677A5" w:rsidP="007677A5">
      <w:pPr>
        <w:tabs>
          <w:tab w:val="left" w:pos="851"/>
        </w:tabs>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In the 1980s, the focus was on developing the communicative competence and cultural awareness, and thus, teaching the target language through interaction was the guiding principle. </w:t>
      </w:r>
      <w:r>
        <w:rPr>
          <w:rFonts w:ascii="Times New Roman" w:hAnsi="Times New Roman" w:cs="Times New Roman"/>
          <w:sz w:val="24"/>
          <w:szCs w:val="24"/>
          <w:lang w:val="en-GB"/>
        </w:rPr>
        <w:lastRenderedPageBreak/>
        <w:t>However, albeit the teaching material was carefully selected (</w:t>
      </w:r>
      <w:proofErr w:type="gramStart"/>
      <w:r>
        <w:rPr>
          <w:rFonts w:ascii="Times New Roman" w:hAnsi="Times New Roman" w:cs="Times New Roman"/>
          <w:sz w:val="24"/>
          <w:szCs w:val="24"/>
          <w:lang w:val="en-GB"/>
        </w:rPr>
        <w:t>e.g.</w:t>
      </w:r>
      <w:proofErr w:type="gramEnd"/>
      <w:r>
        <w:rPr>
          <w:rFonts w:ascii="Times New Roman" w:hAnsi="Times New Roman" w:cs="Times New Roman"/>
          <w:sz w:val="24"/>
          <w:szCs w:val="24"/>
          <w:lang w:val="en-GB"/>
        </w:rPr>
        <w:t xml:space="preserve"> maps, newspapers) to be authentic, the learning contexts and the human characters with whom learners interact were not authentic. At this period, the computer was used as a ‘tool’ or ‘medium’ for interaction, and it did not aim at replacing the teachers, but at assisting their work (</w:t>
      </w:r>
      <w:proofErr w:type="spellStart"/>
      <w:r>
        <w:rPr>
          <w:rFonts w:ascii="Times New Roman" w:hAnsi="Times New Roman" w:cs="Times New Roman"/>
          <w:sz w:val="24"/>
          <w:szCs w:val="24"/>
          <w:lang w:val="en-GB"/>
        </w:rPr>
        <w:t>LeBaron</w:t>
      </w:r>
      <w:proofErr w:type="spellEnd"/>
      <w:r>
        <w:rPr>
          <w:rFonts w:ascii="Times New Roman" w:hAnsi="Times New Roman" w:cs="Times New Roman"/>
          <w:sz w:val="24"/>
          <w:szCs w:val="24"/>
          <w:lang w:val="en-GB"/>
        </w:rPr>
        <w:t>-Earle, 2013).</w:t>
      </w:r>
    </w:p>
    <w:p w14:paraId="7C7A0A3E" w14:textId="77777777" w:rsidR="007677A5" w:rsidRDefault="007677A5" w:rsidP="007677A5">
      <w:pPr>
        <w:tabs>
          <w:tab w:val="left" w:pos="851"/>
        </w:tabs>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Three main projects can be listed to illustrate this phase: the Athena Language Learning Project (ALLP), the Computer-assisted Multimedia Interactive Language Learning Environment (CAMILLE) Project, and the Minitel Project. First, the ALLP was the result of a collaboration between the Massachusetts Institute of Technology, IBM, and Digital Equipment Corporation to produce learning prototypes for learners of French, German, Spanish, Russian, English, and Japanese. Through these programs, learners could interact with real life characters through videos (simulation), immersed in real life tasks (such as job interviews and searching for an apartment), and provided with authentic materials (such as maps, newspapers ads, location photos…).  Second, the CAMILLE Project provided various tools for learners including a textbook of learning activities, a grammatical aid, a dictionary with recordings of a native speaker pronouncing the words, audio and video files and a book on the target culture. </w:t>
      </w:r>
      <w:r>
        <w:rPr>
          <w:rFonts w:ascii="Times New Roman" w:hAnsi="Times New Roman" w:cs="Times New Roman"/>
          <w:sz w:val="24"/>
          <w:szCs w:val="24"/>
          <w:lang w:val="en-GB"/>
        </w:rPr>
        <w:tab/>
        <w:t xml:space="preserve">All of these are at the learners’ disposition on the homepage of the environment. Last, “the Minitel is an online service made accessible through telephone lines provided by </w:t>
      </w:r>
      <w:r>
        <w:rPr>
          <w:rFonts w:ascii="Times New Roman" w:hAnsi="Times New Roman" w:cs="Times New Roman"/>
          <w:i/>
          <w:iCs/>
          <w:sz w:val="24"/>
          <w:szCs w:val="24"/>
          <w:lang w:val="en-GB"/>
        </w:rPr>
        <w:t xml:space="preserve">Poste, </w:t>
      </w:r>
      <w:proofErr w:type="spellStart"/>
      <w:r>
        <w:rPr>
          <w:rFonts w:ascii="Times New Roman" w:hAnsi="Times New Roman" w:cs="Times New Roman"/>
          <w:i/>
          <w:iCs/>
          <w:sz w:val="24"/>
          <w:szCs w:val="24"/>
          <w:lang w:val="en-GB"/>
        </w:rPr>
        <w:t>Téléphone</w:t>
      </w:r>
      <w:proofErr w:type="spellEnd"/>
      <w:r>
        <w:rPr>
          <w:rFonts w:ascii="Times New Roman" w:hAnsi="Times New Roman" w:cs="Times New Roman"/>
          <w:i/>
          <w:iCs/>
          <w:sz w:val="24"/>
          <w:szCs w:val="24"/>
          <w:lang w:val="en-GB"/>
        </w:rPr>
        <w:t xml:space="preserve"> et telecommunication (PTT), </w:t>
      </w:r>
      <w:r>
        <w:rPr>
          <w:rFonts w:ascii="Times New Roman" w:hAnsi="Times New Roman" w:cs="Times New Roman"/>
          <w:sz w:val="24"/>
          <w:szCs w:val="24"/>
          <w:lang w:val="en-GB"/>
        </w:rPr>
        <w:t>the French postal and phone services” (</w:t>
      </w:r>
      <w:proofErr w:type="spellStart"/>
      <w:r>
        <w:rPr>
          <w:rFonts w:ascii="Times New Roman" w:hAnsi="Times New Roman" w:cs="Times New Roman"/>
          <w:sz w:val="24"/>
          <w:szCs w:val="24"/>
          <w:lang w:val="en-GB"/>
        </w:rPr>
        <w:t>LeBaron</w:t>
      </w:r>
      <w:proofErr w:type="spellEnd"/>
      <w:r>
        <w:rPr>
          <w:rFonts w:ascii="Times New Roman" w:hAnsi="Times New Roman" w:cs="Times New Roman"/>
          <w:sz w:val="24"/>
          <w:szCs w:val="24"/>
          <w:lang w:val="en-GB"/>
        </w:rPr>
        <w:t>-Earle, 2013 p. 54). In 1986, the Minitel was used to link students in France, Italy, and Portugal who were required to write fictitious tales. The use of the Minitel enabled genuine authentic intercultural exchange between learners.</w:t>
      </w:r>
    </w:p>
    <w:p w14:paraId="70E7FA6F" w14:textId="5B2EADF2" w:rsidR="007677A5" w:rsidRDefault="007677A5" w:rsidP="007677A5">
      <w:pPr>
        <w:tabs>
          <w:tab w:val="left" w:pos="851"/>
        </w:tabs>
        <w:spacing w:line="480" w:lineRule="auto"/>
        <w:jc w:val="both"/>
        <w:rPr>
          <w:rFonts w:ascii="Times New Roman" w:hAnsi="Times New Roman" w:cs="Times New Roman"/>
          <w:sz w:val="24"/>
          <w:szCs w:val="24"/>
          <w:lang w:val="en-GB"/>
        </w:rPr>
      </w:pPr>
      <w:r>
        <w:rPr>
          <w:rFonts w:ascii="Times New Roman" w:hAnsi="Times New Roman" w:cs="Times New Roman"/>
          <w:noProof/>
          <w:sz w:val="24"/>
          <w:szCs w:val="24"/>
          <w:lang w:eastAsia="fr-FR"/>
        </w:rPr>
        <w:lastRenderedPageBreak/>
        <w:drawing>
          <wp:inline distT="0" distB="0" distL="0" distR="0" wp14:anchorId="40D49B68" wp14:editId="12BF97C9">
            <wp:extent cx="5114925" cy="1447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14925" cy="1447800"/>
                    </a:xfrm>
                    <a:prstGeom prst="rect">
                      <a:avLst/>
                    </a:prstGeom>
                    <a:noFill/>
                    <a:ln>
                      <a:noFill/>
                    </a:ln>
                  </pic:spPr>
                </pic:pic>
              </a:graphicData>
            </a:graphic>
          </wp:inline>
        </w:drawing>
      </w:r>
    </w:p>
    <w:p w14:paraId="0E7F75BB" w14:textId="77777777" w:rsidR="007677A5" w:rsidRDefault="007677A5" w:rsidP="007677A5">
      <w:pPr>
        <w:tabs>
          <w:tab w:val="left" w:pos="851"/>
        </w:tabs>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Despite the efforts to provide ‘authentic’ material and real-life situations and characters, the learning contexts and characters were not authentic; they were simulated. Therefore, CALL in this era was beneficial on the linguistic level, but not on the intercultural level. For the use of the Minitel, its use was isolated, limited and unrepeated. Educationists looked for to actual authentic learning contexts rather than artificial communicative learning situations (</w:t>
      </w:r>
      <w:proofErr w:type="spellStart"/>
      <w:r>
        <w:rPr>
          <w:rFonts w:ascii="Times New Roman" w:hAnsi="Times New Roman" w:cs="Times New Roman"/>
          <w:sz w:val="24"/>
          <w:szCs w:val="24"/>
          <w:lang w:val="en-GB"/>
        </w:rPr>
        <w:t>LeBaron</w:t>
      </w:r>
      <w:proofErr w:type="spellEnd"/>
      <w:r>
        <w:rPr>
          <w:rFonts w:ascii="Times New Roman" w:hAnsi="Times New Roman" w:cs="Times New Roman"/>
          <w:sz w:val="24"/>
          <w:szCs w:val="24"/>
          <w:lang w:val="en-GB"/>
        </w:rPr>
        <w:t xml:space="preserve">-Earle, 2013). </w:t>
      </w:r>
    </w:p>
    <w:p w14:paraId="4AD42EB8" w14:textId="77777777" w:rsidR="007677A5" w:rsidRDefault="007677A5" w:rsidP="007677A5">
      <w:pPr>
        <w:pStyle w:val="ListParagraph"/>
        <w:numPr>
          <w:ilvl w:val="1"/>
          <w:numId w:val="1"/>
        </w:numPr>
        <w:tabs>
          <w:tab w:val="left" w:pos="5535"/>
        </w:tabs>
        <w:spacing w:line="48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The Integrative Era</w:t>
      </w:r>
    </w:p>
    <w:p w14:paraId="491133FE" w14:textId="77777777" w:rsidR="007677A5" w:rsidRDefault="007677A5" w:rsidP="007677A5">
      <w:pPr>
        <w:tabs>
          <w:tab w:val="left" w:pos="5535"/>
        </w:tabs>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With the integrative phase, “students learn to use a variety of technological tools as an ongoing process of language learning and use, rather than visiting the computer lab on a </w:t>
      </w:r>
      <w:proofErr w:type="gramStart"/>
      <w:r>
        <w:rPr>
          <w:rFonts w:ascii="Times New Roman" w:hAnsi="Times New Roman" w:cs="Times New Roman"/>
          <w:sz w:val="24"/>
          <w:szCs w:val="24"/>
          <w:lang w:val="en-GB"/>
        </w:rPr>
        <w:t>once a week</w:t>
      </w:r>
      <w:proofErr w:type="gramEnd"/>
      <w:r>
        <w:rPr>
          <w:rFonts w:ascii="Times New Roman" w:hAnsi="Times New Roman" w:cs="Times New Roman"/>
          <w:sz w:val="24"/>
          <w:szCs w:val="24"/>
          <w:lang w:val="en-GB"/>
        </w:rPr>
        <w:t xml:space="preserve"> basis for isolated exercises” (</w:t>
      </w:r>
      <w:proofErr w:type="spellStart"/>
      <w:r>
        <w:rPr>
          <w:rFonts w:ascii="Times New Roman" w:hAnsi="Times New Roman" w:cs="Times New Roman"/>
          <w:sz w:val="24"/>
          <w:szCs w:val="24"/>
          <w:lang w:val="en-GB"/>
        </w:rPr>
        <w:t>Warshauer</w:t>
      </w:r>
      <w:proofErr w:type="spellEnd"/>
      <w:r>
        <w:rPr>
          <w:rFonts w:ascii="Times New Roman" w:hAnsi="Times New Roman" w:cs="Times New Roman"/>
          <w:sz w:val="24"/>
          <w:szCs w:val="24"/>
          <w:lang w:val="en-GB"/>
        </w:rPr>
        <w:t xml:space="preserve"> and Healy, 1998 cite in </w:t>
      </w:r>
      <w:proofErr w:type="spellStart"/>
      <w:r>
        <w:rPr>
          <w:rFonts w:ascii="Times New Roman" w:hAnsi="Times New Roman" w:cs="Times New Roman"/>
          <w:sz w:val="24"/>
          <w:szCs w:val="24"/>
          <w:lang w:val="en-GB"/>
        </w:rPr>
        <w:t>LeBaron</w:t>
      </w:r>
      <w:proofErr w:type="spellEnd"/>
      <w:r>
        <w:rPr>
          <w:rFonts w:ascii="Times New Roman" w:hAnsi="Times New Roman" w:cs="Times New Roman"/>
          <w:sz w:val="24"/>
          <w:szCs w:val="24"/>
          <w:lang w:val="en-GB"/>
        </w:rPr>
        <w:t>-Earle, 2013 p 55). The fast development of computers and technology together with the emergence of the Internet, in the 1990s, aided the educationalists’ claims for more authentic situations and social learning. The latter was reflected in Computer Mediated Communication (CMC) through which communication takes place between learners and teachers with the help of computers and the Internet (</w:t>
      </w:r>
      <w:proofErr w:type="spellStart"/>
      <w:r>
        <w:rPr>
          <w:rFonts w:ascii="Times New Roman" w:hAnsi="Times New Roman" w:cs="Times New Roman"/>
          <w:sz w:val="24"/>
          <w:szCs w:val="24"/>
          <w:lang w:val="en-GB"/>
        </w:rPr>
        <w:t>LeBaron</w:t>
      </w:r>
      <w:proofErr w:type="spellEnd"/>
      <w:r>
        <w:rPr>
          <w:rFonts w:ascii="Times New Roman" w:hAnsi="Times New Roman" w:cs="Times New Roman"/>
          <w:sz w:val="24"/>
          <w:szCs w:val="24"/>
          <w:lang w:val="en-GB"/>
        </w:rPr>
        <w:t xml:space="preserve">-Earle, 2013). </w:t>
      </w:r>
    </w:p>
    <w:p w14:paraId="3404675F" w14:textId="77777777" w:rsidR="007677A5" w:rsidRDefault="007677A5" w:rsidP="007677A5">
      <w:pPr>
        <w:tabs>
          <w:tab w:val="left" w:pos="851"/>
        </w:tabs>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Pr>
          <w:rFonts w:ascii="Times New Roman" w:hAnsi="Times New Roman" w:cs="Times New Roman"/>
          <w:sz w:val="24"/>
          <w:szCs w:val="24"/>
          <w:lang w:val="en-GB"/>
        </w:rPr>
        <w:tab/>
        <w:t xml:space="preserve">Jordan et.al (2008, p. 228) echoed this view stating that “the computer now operates as a communication device rather than a teaching machine. This compromise addresses the problem of embodiment and materials”. In other words, through facilitating face-to-face interaction between </w:t>
      </w:r>
      <w:r>
        <w:rPr>
          <w:rFonts w:ascii="Times New Roman" w:hAnsi="Times New Roman" w:cs="Times New Roman"/>
          <w:sz w:val="24"/>
          <w:szCs w:val="24"/>
          <w:lang w:val="en-GB"/>
        </w:rPr>
        <w:lastRenderedPageBreak/>
        <w:t xml:space="preserve">human beings, the need for authentic and highly prescriptive teaching materials, together with the search for the most appropriate method to implement are already addressed problems. </w:t>
      </w:r>
    </w:p>
    <w:p w14:paraId="27FE8805" w14:textId="77777777" w:rsidR="007677A5" w:rsidRDefault="007677A5" w:rsidP="007677A5">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Recently, technology has been much more integrated in the teaching/ learning process, albeit those technologies were not invented to support leaning (</w:t>
      </w:r>
      <w:proofErr w:type="gramStart"/>
      <w:r>
        <w:rPr>
          <w:rFonts w:ascii="Times New Roman" w:hAnsi="Times New Roman" w:cs="Times New Roman"/>
          <w:sz w:val="24"/>
          <w:szCs w:val="24"/>
          <w:lang w:val="en-GB"/>
        </w:rPr>
        <w:t>e.g.</w:t>
      </w:r>
      <w:proofErr w:type="gramEnd"/>
      <w:r>
        <w:rPr>
          <w:rFonts w:ascii="Times New Roman" w:hAnsi="Times New Roman" w:cs="Times New Roman"/>
          <w:sz w:val="24"/>
          <w:szCs w:val="24"/>
          <w:lang w:val="en-GB"/>
        </w:rPr>
        <w:t xml:space="preserve"> e-mail). The International E-mail Tandem Network or </w:t>
      </w:r>
      <w:proofErr w:type="spellStart"/>
      <w:r>
        <w:rPr>
          <w:rFonts w:ascii="Times New Roman" w:hAnsi="Times New Roman" w:cs="Times New Roman"/>
          <w:i/>
          <w:iCs/>
          <w:sz w:val="24"/>
          <w:szCs w:val="24"/>
          <w:lang w:val="en-GB"/>
        </w:rPr>
        <w:t>eTandem</w:t>
      </w:r>
      <w:proofErr w:type="spellEnd"/>
      <w:r>
        <w:rPr>
          <w:rFonts w:ascii="Times New Roman" w:hAnsi="Times New Roman" w:cs="Times New Roman"/>
          <w:i/>
          <w:iCs/>
          <w:sz w:val="24"/>
          <w:szCs w:val="24"/>
          <w:lang w:val="en-GB"/>
        </w:rPr>
        <w:t xml:space="preserve"> </w:t>
      </w:r>
      <w:r>
        <w:rPr>
          <w:rFonts w:ascii="Times New Roman" w:hAnsi="Times New Roman" w:cs="Times New Roman"/>
          <w:sz w:val="24"/>
          <w:szCs w:val="24"/>
          <w:lang w:val="en-GB"/>
        </w:rPr>
        <w:t xml:space="preserve">launched by Helmut </w:t>
      </w:r>
      <w:proofErr w:type="spellStart"/>
      <w:r>
        <w:rPr>
          <w:rFonts w:ascii="Times New Roman" w:hAnsi="Times New Roman" w:cs="Times New Roman"/>
          <w:sz w:val="24"/>
          <w:szCs w:val="24"/>
          <w:lang w:val="en-GB"/>
        </w:rPr>
        <w:t>Brammerts</w:t>
      </w:r>
      <w:proofErr w:type="spellEnd"/>
      <w:r>
        <w:rPr>
          <w:rFonts w:ascii="Times New Roman" w:hAnsi="Times New Roman" w:cs="Times New Roman"/>
          <w:sz w:val="24"/>
          <w:szCs w:val="24"/>
          <w:lang w:val="en-GB"/>
        </w:rPr>
        <w:t xml:space="preserve"> in 1993 exemplifies learning in the integrative phase. Two language learners who want to learn the language of each other use e-mails to exchange written content and attached multimedia files. The </w:t>
      </w:r>
      <w:proofErr w:type="spellStart"/>
      <w:r>
        <w:rPr>
          <w:rFonts w:ascii="Times New Roman" w:hAnsi="Times New Roman" w:cs="Times New Roman"/>
          <w:i/>
          <w:iCs/>
          <w:sz w:val="24"/>
          <w:szCs w:val="24"/>
          <w:lang w:val="en-GB"/>
        </w:rPr>
        <w:t>Cultura</w:t>
      </w:r>
      <w:proofErr w:type="spellEnd"/>
      <w:r>
        <w:rPr>
          <w:rFonts w:ascii="Times New Roman" w:hAnsi="Times New Roman" w:cs="Times New Roman"/>
          <w:i/>
          <w:iCs/>
          <w:sz w:val="24"/>
          <w:szCs w:val="24"/>
          <w:lang w:val="en-GB"/>
        </w:rPr>
        <w:t xml:space="preserve"> </w:t>
      </w:r>
      <w:proofErr w:type="gramStart"/>
      <w:r>
        <w:rPr>
          <w:rFonts w:ascii="Times New Roman" w:hAnsi="Times New Roman" w:cs="Times New Roman"/>
          <w:i/>
          <w:iCs/>
          <w:sz w:val="24"/>
          <w:szCs w:val="24"/>
          <w:lang w:val="en-GB"/>
        </w:rPr>
        <w:t xml:space="preserve">Project </w:t>
      </w:r>
      <w:r>
        <w:rPr>
          <w:rFonts w:ascii="Times New Roman" w:hAnsi="Times New Roman" w:cs="Times New Roman"/>
          <w:sz w:val="24"/>
          <w:szCs w:val="24"/>
          <w:lang w:val="en-GB"/>
        </w:rPr>
        <w:t xml:space="preserve"> is</w:t>
      </w:r>
      <w:proofErr w:type="gramEnd"/>
      <w:r>
        <w:rPr>
          <w:rFonts w:ascii="Times New Roman" w:hAnsi="Times New Roman" w:cs="Times New Roman"/>
          <w:sz w:val="24"/>
          <w:szCs w:val="24"/>
          <w:lang w:val="en-GB"/>
        </w:rPr>
        <w:t xml:space="preserve"> another major contribution that can be used for illustration. It was a collaboration between the Massachusetts Institute of Technology and </w:t>
      </w:r>
      <w:proofErr w:type="spellStart"/>
      <w:r>
        <w:rPr>
          <w:rFonts w:ascii="Times New Roman" w:hAnsi="Times New Roman" w:cs="Times New Roman"/>
          <w:sz w:val="24"/>
          <w:szCs w:val="24"/>
          <w:lang w:val="en-GB"/>
        </w:rPr>
        <w:t>l’Institut</w:t>
      </w:r>
      <w:proofErr w:type="spellEnd"/>
      <w:r>
        <w:rPr>
          <w:rFonts w:ascii="Times New Roman" w:hAnsi="Times New Roman" w:cs="Times New Roman"/>
          <w:sz w:val="24"/>
          <w:szCs w:val="24"/>
          <w:lang w:val="en-GB"/>
        </w:rPr>
        <w:t xml:space="preserve"> National des </w:t>
      </w:r>
      <w:proofErr w:type="spellStart"/>
      <w:r>
        <w:rPr>
          <w:rFonts w:ascii="Times New Roman" w:hAnsi="Times New Roman" w:cs="Times New Roman"/>
          <w:sz w:val="24"/>
          <w:szCs w:val="24"/>
          <w:lang w:val="en-GB"/>
        </w:rPr>
        <w:t>Télécommunications</w:t>
      </w:r>
      <w:proofErr w:type="spellEnd"/>
      <w:r>
        <w:rPr>
          <w:rFonts w:ascii="Times New Roman" w:hAnsi="Times New Roman" w:cs="Times New Roman"/>
          <w:sz w:val="24"/>
          <w:szCs w:val="24"/>
          <w:lang w:val="en-GB"/>
        </w:rPr>
        <w:t xml:space="preserve"> in 1999 which aimed at developing learners’ intercultural communicative competence. It followed a blended learning approach </w:t>
      </w:r>
      <w:proofErr w:type="gramStart"/>
      <w:r>
        <w:rPr>
          <w:rFonts w:ascii="Times New Roman" w:hAnsi="Times New Roman" w:cs="Times New Roman"/>
          <w:sz w:val="24"/>
          <w:szCs w:val="24"/>
          <w:lang w:val="en-GB"/>
        </w:rPr>
        <w:t>i.e.</w:t>
      </w:r>
      <w:proofErr w:type="gramEnd"/>
      <w:r>
        <w:rPr>
          <w:rFonts w:ascii="Times New Roman" w:hAnsi="Times New Roman" w:cs="Times New Roman"/>
          <w:sz w:val="24"/>
          <w:szCs w:val="24"/>
          <w:lang w:val="en-GB"/>
        </w:rPr>
        <w:t xml:space="preserve"> learners discussions were carried out online via forums and then in the classroom.</w:t>
      </w:r>
    </w:p>
    <w:p w14:paraId="6AB4FFDB" w14:textId="77777777" w:rsidR="007677A5" w:rsidRDefault="007677A5" w:rsidP="007677A5">
      <w:pPr>
        <w:tabs>
          <w:tab w:val="left" w:pos="851"/>
        </w:tabs>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Pr>
          <w:rFonts w:ascii="Times New Roman" w:hAnsi="Times New Roman" w:cs="Times New Roman"/>
          <w:sz w:val="24"/>
          <w:szCs w:val="24"/>
          <w:lang w:val="en-GB"/>
        </w:rPr>
        <w:tab/>
        <w:t>The use of various web 2.0 services, including online games and social media (</w:t>
      </w:r>
      <w:proofErr w:type="spellStart"/>
      <w:r>
        <w:rPr>
          <w:rFonts w:ascii="Times New Roman" w:hAnsi="Times New Roman" w:cs="Times New Roman"/>
          <w:sz w:val="24"/>
          <w:szCs w:val="24"/>
          <w:lang w:val="en-GB"/>
        </w:rPr>
        <w:t>MySpace</w:t>
      </w:r>
      <w:proofErr w:type="spellEnd"/>
      <w:r>
        <w:rPr>
          <w:rFonts w:ascii="Times New Roman" w:hAnsi="Times New Roman" w:cs="Times New Roman"/>
          <w:sz w:val="24"/>
          <w:szCs w:val="24"/>
          <w:lang w:val="en-GB"/>
        </w:rPr>
        <w:t>, Facebook, YouTube…), has become a part of social media assisted language learning (SMALL). Besides, the integrative CALL period is characterized by the use of telecollaborative projects in language teaching/ learning. Telecollaborative pedagogy is characterized by the use of internet communication tools to bring together geographically distant groups of language learners and teachers in institutionalized settings for the sake of developing their foreign language skills and intercultural competence through social interaction, telecollaborative tasks, and project work (</w:t>
      </w:r>
      <w:proofErr w:type="spellStart"/>
      <w:r>
        <w:rPr>
          <w:rFonts w:ascii="Times New Roman" w:hAnsi="Times New Roman" w:cs="Times New Roman"/>
          <w:sz w:val="24"/>
          <w:szCs w:val="24"/>
          <w:lang w:val="en-GB"/>
        </w:rPr>
        <w:t>Belz</w:t>
      </w:r>
      <w:proofErr w:type="spellEnd"/>
      <w:r>
        <w:rPr>
          <w:rFonts w:ascii="Times New Roman" w:hAnsi="Times New Roman" w:cs="Times New Roman"/>
          <w:sz w:val="24"/>
          <w:szCs w:val="24"/>
          <w:lang w:val="en-GB"/>
        </w:rPr>
        <w:t xml:space="preserve">, 2007, </w:t>
      </w:r>
      <w:proofErr w:type="spellStart"/>
      <w:r>
        <w:rPr>
          <w:rFonts w:ascii="Times New Roman" w:hAnsi="Times New Roman" w:cs="Times New Roman"/>
          <w:sz w:val="24"/>
          <w:szCs w:val="24"/>
          <w:lang w:val="en-GB"/>
        </w:rPr>
        <w:t>O’D’owd</w:t>
      </w:r>
      <w:proofErr w:type="spellEnd"/>
      <w:r>
        <w:rPr>
          <w:rFonts w:ascii="Times New Roman" w:hAnsi="Times New Roman" w:cs="Times New Roman"/>
          <w:sz w:val="24"/>
          <w:szCs w:val="24"/>
          <w:lang w:val="en-GB"/>
        </w:rPr>
        <w:t>, 2013). This kind of pedagogy “is commonly characterised as ethnographic, dialogic and critical” (</w:t>
      </w:r>
      <w:proofErr w:type="spellStart"/>
      <w:r>
        <w:rPr>
          <w:rFonts w:ascii="Times New Roman" w:hAnsi="Times New Roman" w:cs="Times New Roman"/>
          <w:sz w:val="24"/>
          <w:szCs w:val="24"/>
          <w:lang w:val="en-GB"/>
        </w:rPr>
        <w:t>Belz</w:t>
      </w:r>
      <w:proofErr w:type="spellEnd"/>
      <w:r>
        <w:rPr>
          <w:rFonts w:ascii="Times New Roman" w:hAnsi="Times New Roman" w:cs="Times New Roman"/>
          <w:sz w:val="24"/>
          <w:szCs w:val="24"/>
          <w:lang w:val="en-GB"/>
        </w:rPr>
        <w:t xml:space="preserve">, 2007 p.138). It takes place “under the careful guidance of </w:t>
      </w:r>
      <w:proofErr w:type="spellStart"/>
      <w:r>
        <w:rPr>
          <w:rFonts w:ascii="Times New Roman" w:hAnsi="Times New Roman" w:cs="Times New Roman"/>
          <w:sz w:val="24"/>
          <w:szCs w:val="24"/>
          <w:lang w:val="en-GB"/>
        </w:rPr>
        <w:t>languacultural</w:t>
      </w:r>
      <w:proofErr w:type="spellEnd"/>
      <w:r>
        <w:rPr>
          <w:rFonts w:ascii="Times New Roman" w:hAnsi="Times New Roman" w:cs="Times New Roman"/>
          <w:sz w:val="24"/>
          <w:szCs w:val="24"/>
          <w:lang w:val="en-GB"/>
        </w:rPr>
        <w:t xml:space="preserve"> experts” (ibid, p.158) </w:t>
      </w:r>
      <w:proofErr w:type="gramStart"/>
      <w:r>
        <w:rPr>
          <w:rFonts w:ascii="Times New Roman" w:hAnsi="Times New Roman" w:cs="Times New Roman"/>
          <w:sz w:val="24"/>
          <w:szCs w:val="24"/>
          <w:lang w:val="en-GB"/>
        </w:rPr>
        <w:t>i.e.</w:t>
      </w:r>
      <w:proofErr w:type="gramEnd"/>
      <w:r>
        <w:rPr>
          <w:rFonts w:ascii="Times New Roman" w:hAnsi="Times New Roman" w:cs="Times New Roman"/>
          <w:sz w:val="24"/>
          <w:szCs w:val="24"/>
          <w:lang w:val="en-GB"/>
        </w:rPr>
        <w:t xml:space="preserve"> under the supervision of teachers. Telecollaborative learning became one of the main pillars of CALL (O’Dowd, 2011).</w:t>
      </w:r>
    </w:p>
    <w:p w14:paraId="3CC85ECF" w14:textId="77777777" w:rsidR="007677A5" w:rsidRDefault="007677A5" w:rsidP="007677A5">
      <w:pPr>
        <w:tabs>
          <w:tab w:val="left" w:pos="851"/>
        </w:tabs>
        <w:spacing w:line="480" w:lineRule="auto"/>
        <w:jc w:val="both"/>
        <w:rPr>
          <w:rFonts w:ascii="Times New Roman" w:hAnsi="Times New Roman" w:cs="Times New Roman"/>
          <w:sz w:val="24"/>
          <w:szCs w:val="24"/>
          <w:lang w:val="en-GB"/>
        </w:rPr>
      </w:pPr>
    </w:p>
    <w:p w14:paraId="60DEC075" w14:textId="29832417" w:rsidR="007677A5" w:rsidRDefault="007677A5" w:rsidP="007677A5">
      <w:pPr>
        <w:spacing w:line="240" w:lineRule="auto"/>
        <w:rPr>
          <w:rFonts w:ascii="Times New Roman" w:hAnsi="Times New Roman" w:cs="Times New Roman"/>
          <w:b/>
          <w:bCs/>
          <w:sz w:val="24"/>
          <w:szCs w:val="24"/>
        </w:rPr>
      </w:pPr>
      <w:r w:rsidRPr="007677A5">
        <w:rPr>
          <w:rFonts w:ascii="Times New Roman" w:hAnsi="Times New Roman" w:cs="Times New Roman"/>
          <w:b/>
          <w:bCs/>
          <w:sz w:val="24"/>
          <w:szCs w:val="24"/>
        </w:rPr>
        <w:lastRenderedPageBreak/>
        <w:t>References</w:t>
      </w:r>
    </w:p>
    <w:p w14:paraId="270C5C00" w14:textId="0F35ABD1" w:rsidR="007677A5" w:rsidRPr="007677A5" w:rsidRDefault="007677A5" w:rsidP="007677A5">
      <w:pPr>
        <w:spacing w:line="240" w:lineRule="auto"/>
        <w:jc w:val="both"/>
        <w:rPr>
          <w:rFonts w:ascii="Times New Roman" w:hAnsi="Times New Roman" w:cs="Times New Roman"/>
          <w:sz w:val="24"/>
          <w:szCs w:val="24"/>
          <w:lang w:val="en-GB"/>
        </w:rPr>
      </w:pPr>
      <w:proofErr w:type="spellStart"/>
      <w:proofErr w:type="gramStart"/>
      <w:r>
        <w:rPr>
          <w:rFonts w:ascii="Times New Roman" w:hAnsi="Times New Roman" w:cs="Times New Roman"/>
          <w:sz w:val="24"/>
          <w:szCs w:val="24"/>
          <w:lang w:val="en-GB"/>
        </w:rPr>
        <w:t>Bennacer,F</w:t>
      </w:r>
      <w:proofErr w:type="spellEnd"/>
      <w:proofErr w:type="gramEnd"/>
      <w:r>
        <w:rPr>
          <w:rFonts w:ascii="Times New Roman" w:hAnsi="Times New Roman" w:cs="Times New Roman"/>
          <w:sz w:val="24"/>
          <w:szCs w:val="24"/>
          <w:lang w:val="en-GB"/>
        </w:rPr>
        <w:t xml:space="preserve"> (2019).</w:t>
      </w:r>
      <w:r>
        <w:rPr>
          <w:rFonts w:ascii="Times New Roman" w:hAnsi="Times New Roman" w:cs="Times New Roman"/>
          <w:i/>
          <w:iCs/>
          <w:sz w:val="24"/>
          <w:szCs w:val="24"/>
          <w:lang w:val="en-GB"/>
        </w:rPr>
        <w:t xml:space="preserve"> Using Telecollaboration through Facebook to Develop the English as a Foreign Language Learners’ Intercultural Communicative Competence.</w:t>
      </w:r>
      <w:r>
        <w:rPr>
          <w:rFonts w:ascii="Times New Roman" w:hAnsi="Times New Roman" w:cs="Times New Roman"/>
          <w:sz w:val="24"/>
          <w:szCs w:val="24"/>
          <w:lang w:val="en-GB"/>
        </w:rPr>
        <w:t xml:space="preserve"> Unpublished </w:t>
      </w:r>
      <w:proofErr w:type="spellStart"/>
      <w:r>
        <w:rPr>
          <w:rFonts w:ascii="Times New Roman" w:hAnsi="Times New Roman" w:cs="Times New Roman"/>
          <w:sz w:val="24"/>
          <w:szCs w:val="24"/>
          <w:lang w:val="en-GB"/>
        </w:rPr>
        <w:t>Doctorat</w:t>
      </w:r>
      <w:proofErr w:type="spellEnd"/>
      <w:r>
        <w:rPr>
          <w:rFonts w:ascii="Times New Roman" w:hAnsi="Times New Roman" w:cs="Times New Roman"/>
          <w:sz w:val="24"/>
          <w:szCs w:val="24"/>
          <w:lang w:val="en-GB"/>
        </w:rPr>
        <w:t xml:space="preserve"> thesis. University of </w:t>
      </w:r>
      <w:proofErr w:type="spellStart"/>
      <w:r>
        <w:rPr>
          <w:rFonts w:ascii="Times New Roman" w:hAnsi="Times New Roman" w:cs="Times New Roman"/>
          <w:sz w:val="24"/>
          <w:szCs w:val="24"/>
          <w:lang w:val="en-GB"/>
        </w:rPr>
        <w:t>Mentouri</w:t>
      </w:r>
      <w:proofErr w:type="spellEnd"/>
      <w:r>
        <w:rPr>
          <w:rFonts w:ascii="Times New Roman" w:hAnsi="Times New Roman" w:cs="Times New Roman"/>
          <w:sz w:val="24"/>
          <w:szCs w:val="24"/>
          <w:lang w:val="en-GB"/>
        </w:rPr>
        <w:t xml:space="preserve"> Brothers, Constantine 1.</w:t>
      </w:r>
    </w:p>
    <w:p w14:paraId="3F3D30BA" w14:textId="190D2F32" w:rsidR="007677A5" w:rsidRDefault="007677A5" w:rsidP="007677A5">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Brett, D. &amp; </w:t>
      </w:r>
      <w:proofErr w:type="spellStart"/>
      <w:r>
        <w:rPr>
          <w:rFonts w:ascii="Times New Roman" w:hAnsi="Times New Roman" w:cs="Times New Roman"/>
          <w:sz w:val="24"/>
          <w:szCs w:val="24"/>
          <w:lang w:val="en-GB"/>
        </w:rPr>
        <w:t>Gonzàlez-LLoret</w:t>
      </w:r>
      <w:proofErr w:type="spellEnd"/>
      <w:r>
        <w:rPr>
          <w:rFonts w:ascii="Times New Roman" w:hAnsi="Times New Roman" w:cs="Times New Roman"/>
          <w:sz w:val="24"/>
          <w:szCs w:val="24"/>
          <w:lang w:val="en-GB"/>
        </w:rPr>
        <w:t xml:space="preserve">. (2009). Technology- enhanced materials. In M.H. Long &amp; C.J. doughty (ed). </w:t>
      </w:r>
      <w:r>
        <w:rPr>
          <w:rFonts w:ascii="Times New Roman" w:hAnsi="Times New Roman" w:cs="Times New Roman"/>
          <w:i/>
          <w:iCs/>
          <w:sz w:val="24"/>
          <w:szCs w:val="24"/>
          <w:lang w:val="en-GB"/>
        </w:rPr>
        <w:t xml:space="preserve">The handbook of language teaching. </w:t>
      </w:r>
      <w:r>
        <w:rPr>
          <w:rFonts w:ascii="Times New Roman" w:hAnsi="Times New Roman" w:cs="Times New Roman"/>
          <w:sz w:val="24"/>
          <w:szCs w:val="24"/>
          <w:lang w:val="en-GB"/>
        </w:rPr>
        <w:t xml:space="preserve">(pp. 351-369). Wiley-Blackwell. </w:t>
      </w:r>
    </w:p>
    <w:p w14:paraId="6191433F" w14:textId="77777777" w:rsidR="007677A5" w:rsidRDefault="007677A5" w:rsidP="007677A5">
      <w:pPr>
        <w:spacing w:line="240" w:lineRule="auto"/>
        <w:jc w:val="both"/>
        <w:rPr>
          <w:rFonts w:ascii="Times New Roman" w:hAnsi="Times New Roman" w:cs="Times New Roman"/>
          <w:sz w:val="24"/>
          <w:szCs w:val="24"/>
          <w:lang w:val="en-GB"/>
        </w:rPr>
      </w:pPr>
      <w:proofErr w:type="spellStart"/>
      <w:proofErr w:type="gramStart"/>
      <w:r>
        <w:rPr>
          <w:rFonts w:ascii="Times New Roman" w:hAnsi="Times New Roman" w:cs="Times New Roman"/>
          <w:sz w:val="24"/>
          <w:szCs w:val="24"/>
          <w:lang w:val="en-GB"/>
        </w:rPr>
        <w:t>Jordan,A</w:t>
      </w:r>
      <w:proofErr w:type="spellEnd"/>
      <w:r>
        <w:rPr>
          <w:rFonts w:ascii="Times New Roman" w:hAnsi="Times New Roman" w:cs="Times New Roman"/>
          <w:sz w:val="24"/>
          <w:szCs w:val="24"/>
          <w:lang w:val="en-GB"/>
        </w:rPr>
        <w:t>.</w:t>
      </w:r>
      <w:proofErr w:type="gram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Carlile,O</w:t>
      </w:r>
      <w:proofErr w:type="spellEnd"/>
      <w:r>
        <w:rPr>
          <w:rFonts w:ascii="Times New Roman" w:hAnsi="Times New Roman" w:cs="Times New Roman"/>
          <w:sz w:val="24"/>
          <w:szCs w:val="24"/>
          <w:lang w:val="en-GB"/>
        </w:rPr>
        <w:t xml:space="preserve">. &amp; </w:t>
      </w:r>
      <w:proofErr w:type="spellStart"/>
      <w:r>
        <w:rPr>
          <w:rFonts w:ascii="Times New Roman" w:hAnsi="Times New Roman" w:cs="Times New Roman"/>
          <w:sz w:val="24"/>
          <w:szCs w:val="24"/>
          <w:lang w:val="en-GB"/>
        </w:rPr>
        <w:t>Stack,A</w:t>
      </w:r>
      <w:proofErr w:type="spellEnd"/>
      <w:r>
        <w:rPr>
          <w:rFonts w:ascii="Times New Roman" w:hAnsi="Times New Roman" w:cs="Times New Roman"/>
          <w:sz w:val="24"/>
          <w:szCs w:val="24"/>
          <w:lang w:val="en-GB"/>
        </w:rPr>
        <w:t xml:space="preserve">.(2008). </w:t>
      </w:r>
      <w:r>
        <w:rPr>
          <w:rFonts w:ascii="Times New Roman" w:hAnsi="Times New Roman" w:cs="Times New Roman"/>
          <w:i/>
          <w:iCs/>
          <w:sz w:val="24"/>
          <w:szCs w:val="24"/>
          <w:lang w:val="en-GB"/>
        </w:rPr>
        <w:t xml:space="preserve">Approaches to learning: a guide for teachers. </w:t>
      </w:r>
      <w:r>
        <w:rPr>
          <w:rFonts w:ascii="Times New Roman" w:hAnsi="Times New Roman" w:cs="Times New Roman"/>
          <w:sz w:val="24"/>
          <w:szCs w:val="24"/>
          <w:lang w:val="en-GB"/>
        </w:rPr>
        <w:t xml:space="preserve">Open University Press. </w:t>
      </w:r>
    </w:p>
    <w:p w14:paraId="51544EFA" w14:textId="77777777" w:rsidR="007677A5" w:rsidRDefault="007677A5" w:rsidP="007677A5">
      <w:pPr>
        <w:spacing w:line="240" w:lineRule="auto"/>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LeBaron</w:t>
      </w:r>
      <w:proofErr w:type="spellEnd"/>
      <w:r>
        <w:rPr>
          <w:rFonts w:ascii="Times New Roman" w:hAnsi="Times New Roman" w:cs="Times New Roman"/>
          <w:sz w:val="24"/>
          <w:szCs w:val="24"/>
          <w:lang w:val="en-GB"/>
        </w:rPr>
        <w:t xml:space="preserve">-Earle, F. (2013). </w:t>
      </w:r>
      <w:r>
        <w:rPr>
          <w:rFonts w:ascii="Times New Roman" w:hAnsi="Times New Roman" w:cs="Times New Roman"/>
          <w:i/>
          <w:iCs/>
          <w:sz w:val="24"/>
          <w:szCs w:val="24"/>
          <w:lang w:val="en-GB"/>
        </w:rPr>
        <w:t xml:space="preserve">Social media and language learning: enhancing intercultural communicative competence. </w:t>
      </w:r>
      <w:r>
        <w:rPr>
          <w:rFonts w:ascii="Times New Roman" w:hAnsi="Times New Roman" w:cs="Times New Roman"/>
          <w:sz w:val="24"/>
          <w:szCs w:val="24"/>
          <w:lang w:val="en-GB"/>
        </w:rPr>
        <w:t>University of Limerick.</w:t>
      </w:r>
    </w:p>
    <w:p w14:paraId="6D047412" w14:textId="32FBC24E" w:rsidR="007677A5" w:rsidRDefault="007677A5" w:rsidP="007677A5">
      <w:pPr>
        <w:pStyle w:val="NormalWeb"/>
      </w:pPr>
      <w:proofErr w:type="spellStart"/>
      <w:r>
        <w:t>O‟Dowd</w:t>
      </w:r>
      <w:proofErr w:type="spellEnd"/>
      <w:r>
        <w:t xml:space="preserve">, R. (2011). Intercultural communicative competence through telecollaboration. In J. Jackson (ed). The Routledge Handbook of language and intercultural communication (pp 342-358). Routledge Taylor &amp; Francis Group. </w:t>
      </w:r>
    </w:p>
    <w:p w14:paraId="29D84278" w14:textId="77777777" w:rsidR="007677A5" w:rsidRDefault="007677A5" w:rsidP="007677A5">
      <w:pPr>
        <w:spacing w:line="480" w:lineRule="auto"/>
        <w:jc w:val="both"/>
        <w:rPr>
          <w:rFonts w:ascii="Times New Roman" w:hAnsi="Times New Roman" w:cs="Times New Roman"/>
          <w:sz w:val="24"/>
          <w:szCs w:val="24"/>
          <w:lang w:val="en-GB"/>
        </w:rPr>
      </w:pPr>
    </w:p>
    <w:p w14:paraId="21419ED1" w14:textId="77777777" w:rsidR="007677A5" w:rsidRPr="007677A5" w:rsidRDefault="007677A5">
      <w:pPr>
        <w:rPr>
          <w:rFonts w:ascii="Times New Roman" w:hAnsi="Times New Roman" w:cs="Times New Roman"/>
          <w:b/>
          <w:bCs/>
          <w:sz w:val="24"/>
          <w:szCs w:val="24"/>
        </w:rPr>
      </w:pPr>
    </w:p>
    <w:sectPr w:rsidR="007677A5" w:rsidRPr="007677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4E3D33"/>
    <w:multiLevelType w:val="multilevel"/>
    <w:tmpl w:val="A39AC140"/>
    <w:lvl w:ilvl="0">
      <w:start w:val="1"/>
      <w:numFmt w:val="decimal"/>
      <w:lvlText w:val="%1."/>
      <w:lvlJc w:val="left"/>
      <w:pPr>
        <w:ind w:left="720" w:hanging="360"/>
      </w:pPr>
      <w:rPr>
        <w:b/>
        <w:bCs/>
      </w:rPr>
    </w:lvl>
    <w:lvl w:ilvl="1">
      <w:start w:val="1"/>
      <w:numFmt w:val="decimal"/>
      <w:isLgl/>
      <w:lvlText w:val="%1.%2."/>
      <w:lvlJc w:val="left"/>
      <w:pPr>
        <w:ind w:left="1440" w:hanging="720"/>
      </w:pPr>
      <w:rPr>
        <w:b/>
        <w:bCs/>
      </w:r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7A5"/>
    <w:rsid w:val="00745745"/>
    <w:rsid w:val="00767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96B96"/>
  <w15:chartTrackingRefBased/>
  <w15:docId w15:val="{BF50459E-567E-4308-AA67-3663985C2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7A5"/>
    <w:pPr>
      <w:spacing w:after="200" w:line="276" w:lineRule="auto"/>
      <w:ind w:left="720"/>
      <w:contextualSpacing/>
    </w:pPr>
    <w:rPr>
      <w:lang w:val="fr-FR"/>
    </w:rPr>
  </w:style>
  <w:style w:type="paragraph" w:styleId="NormalWeb">
    <w:name w:val="Normal (Web)"/>
    <w:basedOn w:val="Normal"/>
    <w:uiPriority w:val="99"/>
    <w:semiHidden/>
    <w:unhideWhenUsed/>
    <w:rsid w:val="007677A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62026">
      <w:bodyDiv w:val="1"/>
      <w:marLeft w:val="0"/>
      <w:marRight w:val="0"/>
      <w:marTop w:val="0"/>
      <w:marBottom w:val="0"/>
      <w:divBdr>
        <w:top w:val="none" w:sz="0" w:space="0" w:color="auto"/>
        <w:left w:val="none" w:sz="0" w:space="0" w:color="auto"/>
        <w:bottom w:val="none" w:sz="0" w:space="0" w:color="auto"/>
        <w:right w:val="none" w:sz="0" w:space="0" w:color="auto"/>
      </w:divBdr>
    </w:div>
    <w:div w:id="85274427">
      <w:bodyDiv w:val="1"/>
      <w:marLeft w:val="0"/>
      <w:marRight w:val="0"/>
      <w:marTop w:val="0"/>
      <w:marBottom w:val="0"/>
      <w:divBdr>
        <w:top w:val="none" w:sz="0" w:space="0" w:color="auto"/>
        <w:left w:val="none" w:sz="0" w:space="0" w:color="auto"/>
        <w:bottom w:val="none" w:sz="0" w:space="0" w:color="auto"/>
        <w:right w:val="none" w:sz="0" w:space="0" w:color="auto"/>
      </w:divBdr>
    </w:div>
    <w:div w:id="610821201">
      <w:bodyDiv w:val="1"/>
      <w:marLeft w:val="0"/>
      <w:marRight w:val="0"/>
      <w:marTop w:val="0"/>
      <w:marBottom w:val="0"/>
      <w:divBdr>
        <w:top w:val="none" w:sz="0" w:space="0" w:color="auto"/>
        <w:left w:val="none" w:sz="0" w:space="0" w:color="auto"/>
        <w:bottom w:val="none" w:sz="0" w:space="0" w:color="auto"/>
        <w:right w:val="none" w:sz="0" w:space="0" w:color="auto"/>
      </w:divBdr>
    </w:div>
    <w:div w:id="756439092">
      <w:bodyDiv w:val="1"/>
      <w:marLeft w:val="0"/>
      <w:marRight w:val="0"/>
      <w:marTop w:val="0"/>
      <w:marBottom w:val="0"/>
      <w:divBdr>
        <w:top w:val="none" w:sz="0" w:space="0" w:color="auto"/>
        <w:left w:val="none" w:sz="0" w:space="0" w:color="auto"/>
        <w:bottom w:val="none" w:sz="0" w:space="0" w:color="auto"/>
        <w:right w:val="none" w:sz="0" w:space="0" w:color="auto"/>
      </w:divBdr>
    </w:div>
    <w:div w:id="1614434863">
      <w:bodyDiv w:val="1"/>
      <w:marLeft w:val="0"/>
      <w:marRight w:val="0"/>
      <w:marTop w:val="0"/>
      <w:marBottom w:val="0"/>
      <w:divBdr>
        <w:top w:val="none" w:sz="0" w:space="0" w:color="auto"/>
        <w:left w:val="none" w:sz="0" w:space="0" w:color="auto"/>
        <w:bottom w:val="none" w:sz="0" w:space="0" w:color="auto"/>
        <w:right w:val="none" w:sz="0" w:space="0" w:color="auto"/>
      </w:divBdr>
    </w:div>
    <w:div w:id="1897741565">
      <w:bodyDiv w:val="1"/>
      <w:marLeft w:val="0"/>
      <w:marRight w:val="0"/>
      <w:marTop w:val="0"/>
      <w:marBottom w:val="0"/>
      <w:divBdr>
        <w:top w:val="none" w:sz="0" w:space="0" w:color="auto"/>
        <w:left w:val="none" w:sz="0" w:space="0" w:color="auto"/>
        <w:bottom w:val="none" w:sz="0" w:space="0" w:color="auto"/>
        <w:right w:val="none" w:sz="0" w:space="0" w:color="auto"/>
      </w:divBdr>
      <w:divsChild>
        <w:div w:id="2090227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1391</Words>
  <Characters>7934</Characters>
  <Application>Microsoft Office Word</Application>
  <DocSecurity>0</DocSecurity>
  <Lines>66</Lines>
  <Paragraphs>18</Paragraphs>
  <ScaleCrop>false</ScaleCrop>
  <Company/>
  <LinksUpToDate>false</LinksUpToDate>
  <CharactersWithSpaces>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2021-01-04T21:11:00Z</dcterms:created>
  <dcterms:modified xsi:type="dcterms:W3CDTF">2021-01-04T21:18:00Z</dcterms:modified>
</cp:coreProperties>
</file>