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E4" w:rsidRDefault="006176DF" w:rsidP="00796C4F">
      <w:pPr>
        <w:tabs>
          <w:tab w:val="center" w:pos="5244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المحاضرة السابعة:  </w:t>
      </w:r>
      <w:r w:rsidR="00E1737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الحوكمة المصرفية</w:t>
      </w:r>
    </w:p>
    <w:p w:rsidR="00620349" w:rsidRDefault="00796C4F" w:rsidP="009C3D3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تمهيد : </w:t>
      </w:r>
    </w:p>
    <w:p w:rsidR="00796C4F" w:rsidRPr="00796C4F" w:rsidRDefault="00E17379" w:rsidP="009C3D3D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تحتل المنظومة المصرفية أهمية بالغة على مستوى الاقتصاديات الوطنية والدولية مقارنة بالقطاعات الأخرى ، لذا أصبح لزاما المحافظة على سلامة أداء القطاع المصرفي ، وتعتبر الحوكمة المصرفية أحد المداخل المهمة لضمان ذلك.</w:t>
      </w:r>
    </w:p>
    <w:p w:rsidR="009C3D3D" w:rsidRDefault="00796C4F" w:rsidP="00E17379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796C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أولا</w:t>
      </w:r>
      <w:r w:rsidR="00C3480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</w:t>
      </w:r>
      <w:r w:rsidRPr="00796C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E1737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تعريف الحوكمة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796C4F" w:rsidRDefault="00E17379" w:rsidP="00E17379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توجد تعاريف متعددة للحوكمة المصرفية : نذكر منها مايلي: </w:t>
      </w:r>
    </w:p>
    <w:p w:rsidR="00E17379" w:rsidRDefault="00E17379" w:rsidP="00E1737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هي الأساليب التي تدار بها المصارف من خلال مجلس </w:t>
      </w:r>
      <w:r w:rsidR="001953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والإدارة العليا والتي تحدد كيفية وضع أهداف المصرف والتشغيل وحماية مصالح المساهمين وأصحاب المصالح، وذلك من خلال الالتزام بالقوانين والنظم السائدة بما يضمن حماية حقوق المودعين.</w:t>
      </w:r>
    </w:p>
    <w:p w:rsidR="00F053AD" w:rsidRDefault="00F053AD" w:rsidP="00F053A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مجموعة من القو</w:t>
      </w:r>
      <w:r w:rsidR="006C6B9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اعد </w:t>
      </w:r>
      <w:r w:rsidR="001953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والإجراءات</w:t>
      </w:r>
      <w:r w:rsidR="006C6B9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953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والأسالي</w:t>
      </w:r>
      <w:r w:rsidR="00195307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</w:t>
      </w:r>
      <w:r w:rsidR="006C6B9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تسير عليها أو تتخذها السلطات النقدية والبنوك المركزية والبنوك بهدف الحفاظ على سلامة المركز المالي للمؤسسات المصرفية توصلا إلى تكوين جهاز مصرفي سليم.</w:t>
      </w:r>
    </w:p>
    <w:p w:rsidR="006C6B90" w:rsidRDefault="006C6B90" w:rsidP="006C6B9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الحوكمة المصرفية هي الطريقة التي يدير بها كل من مجلس </w:t>
      </w:r>
      <w:r w:rsidR="001953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953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والإدارة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العامة العمليات والنشاطات الأخرى وتنعكس أيضا في الطريقة التي تتبعها .</w:t>
      </w:r>
    </w:p>
    <w:p w:rsidR="006C6B90" w:rsidRDefault="006C6B90" w:rsidP="006C6B90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6C6B9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ثانيا : أهمية الحوكمة المصرفية:</w:t>
      </w:r>
    </w:p>
    <w:p w:rsidR="006C6B90" w:rsidRDefault="00BD0F85" w:rsidP="0072003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r w:rsidR="006C6B9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تعتبر</w:t>
      </w:r>
      <w:r w:rsidR="0072003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الحوكمة المصرفية نظاما يتم بموجبه توجيه ورقابة العمليات التشغيلية للبنوك .</w:t>
      </w:r>
    </w:p>
    <w:p w:rsidR="00720031" w:rsidRDefault="00BD0F85" w:rsidP="0072003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72003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تمثل الحوكمة المصرفية الجيدة عنصرا رئيسيا في تحسين الكفاءة الاقتصادية والعكس إن كانت الحوكمة سيئة حيث يمكن أن تؤثر على </w:t>
      </w:r>
      <w:r w:rsidR="006176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1953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استقرار</w:t>
      </w:r>
      <w:r w:rsidR="0072003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الاقتصادي والمالي.</w:t>
      </w:r>
    </w:p>
    <w:p w:rsidR="00720031" w:rsidRDefault="00F23A83" w:rsidP="0072003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720031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للبنك المركزي دور في تعزيز وتشجيع الحوكمة المصرفية في البنوك التجارية وذلك للأسباب التالية:</w:t>
      </w:r>
    </w:p>
    <w:p w:rsidR="00720031" w:rsidRDefault="00720031" w:rsidP="0072003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FB50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تطبيق الحوكمة المصرفية الجيدة يقع ضمن المسؤوليات </w:t>
      </w:r>
      <w:r w:rsidR="001953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الإشرافية</w:t>
      </w:r>
      <w:r w:rsidR="00FB50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للبنك المركزي.</w:t>
      </w:r>
    </w:p>
    <w:p w:rsidR="00FB5096" w:rsidRDefault="00FB5096" w:rsidP="00FB509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إن البنوك التجارية تختلف </w:t>
      </w:r>
      <w:r w:rsidR="002902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 غيرها من الشركات المساهمة لأن طبيعة عملها تحمل المخاطر ، إضافة إلى كون هذه البنوك مسئولة عن المحافظة على أموال الغير ( المودعين).</w:t>
      </w:r>
    </w:p>
    <w:p w:rsidR="00BD0F85" w:rsidRDefault="002902C5" w:rsidP="002902C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نتيجة لتعرض البنوك لهذه المخاطر وبسبب تداول أسهمها في بورصة الأوراق المالية ، فإن وجود الحوكمة المؤسسية مسألة مهمة وضرورية لهذه البنوك </w:t>
      </w:r>
    </w:p>
    <w:p w:rsidR="002902C5" w:rsidRDefault="00BD0F85" w:rsidP="00BD0F8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2902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يحتاج أعضاء مجلس الإدارة في البنوك ضمان للتأكد من أن مخاطر التي تتعرض لها طبيعة أعمال البنوك تدار بشكل سليم وان لدى البنك المركزي المسؤولية القانونية للتأكد منها</w:t>
      </w:r>
      <w:r w:rsidR="00273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2902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2902C5" w:rsidRDefault="00F23A83" w:rsidP="002902C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4</w:t>
      </w:r>
      <w:r w:rsidR="002902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تحفيز المديرين والعاملين على أداء عملهم بكفاءة وفعالية .</w:t>
      </w:r>
    </w:p>
    <w:p w:rsidR="002902C5" w:rsidRDefault="00F23A83" w:rsidP="002902C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="002902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إن ممارسة هذه الوظيفة تتطلب توفر </w:t>
      </w:r>
      <w:r w:rsidR="00273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آليات</w:t>
      </w:r>
      <w:r w:rsidR="002902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لحاكمية المصارف قادرة على تأمين سبل </w:t>
      </w:r>
      <w:r w:rsidR="00273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الاستقرار</w:t>
      </w:r>
      <w:r w:rsidR="002902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المالي لإدارات المصرف</w:t>
      </w:r>
      <w:r w:rsidR="00BD0F8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="002902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توفير شبكات الأمان المالية وخطط وسياسات وبرامج لتأمين الودائع.</w:t>
      </w:r>
    </w:p>
    <w:p w:rsidR="00FB5096" w:rsidRDefault="00FB5096" w:rsidP="001C5156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10B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B10BA8" w:rsidRPr="00B10B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ثالثا: أهداف حوكمة البنوك:</w:t>
      </w:r>
    </w:p>
    <w:p w:rsidR="00DB0E05" w:rsidRDefault="00DB0E05" w:rsidP="001C515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التطبيق السليم للحوكمة في البنوك يساعد هذه الأخيرة في جذب </w:t>
      </w:r>
      <w:r w:rsidR="00273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الاستثمارات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ودعم الأداء </w:t>
      </w:r>
      <w:r w:rsidR="00273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والقدرة على المنافسة في المدى الطويل من خلال تحقيق الأهداف التالية.</w:t>
      </w:r>
    </w:p>
    <w:p w:rsidR="00DB0E05" w:rsidRDefault="001C5156" w:rsidP="00DB0E0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وضع الأنظمة الكفيلة التي تقلل من الفساد وتضارب المصالح وجميع التصرفات الغير مقبولة من خلال خلق ثقافة الحوكمة .</w:t>
      </w:r>
    </w:p>
    <w:p w:rsidR="001C5156" w:rsidRDefault="001C5156" w:rsidP="001C515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B44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وضع أنظمة الرقابة والتدقيق والمساءلة على إدارات المصارف وأعضاء مجلس الإدارة .</w:t>
      </w:r>
    </w:p>
    <w:p w:rsidR="001C5156" w:rsidRDefault="001C5156" w:rsidP="0027399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وضع </w:t>
      </w:r>
      <w:r w:rsidR="00273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أنظمة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تضبط المسائلة وتوزيع الحقوق والمسؤوليات .</w:t>
      </w:r>
    </w:p>
    <w:p w:rsidR="001C5156" w:rsidRDefault="001C5156" w:rsidP="0063780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تعزيز ثقة أصحاب المصالح </w:t>
      </w:r>
      <w:r w:rsidR="006378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 w:rsidR="00AB44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إبراز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دورهم وتعزيز الممارسات لمجلس الإدارة وتحديد </w:t>
      </w:r>
      <w:r w:rsidR="00092A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مسؤولياته</w:t>
      </w:r>
      <w:r w:rsidR="00092A04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بما يخلق قيمة تنافسية للمؤسسة.</w:t>
      </w:r>
    </w:p>
    <w:p w:rsidR="005A23A7" w:rsidRDefault="001C5156" w:rsidP="005A23A7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C51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رابعا : محددات </w:t>
      </w:r>
      <w:r w:rsidR="00092A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Pr="001C51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حوكمة المصرفية:</w:t>
      </w:r>
      <w:r w:rsidR="005A23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1C5156" w:rsidRDefault="005A23A7" w:rsidP="005A23A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23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هناك اتفاق على </w:t>
      </w:r>
      <w:r w:rsidR="00AB443D" w:rsidRPr="005A23A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AB44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5A23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التطبيق السليم للحوكمة المصرفية يتوقف على مدى توافر ومستوى جودة مجموعتين من المحددات وهما: </w:t>
      </w:r>
      <w:r w:rsidR="001C5156" w:rsidRPr="005A23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A23A7" w:rsidRDefault="005A23A7" w:rsidP="005A23A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23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4A39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1-</w:t>
      </w:r>
      <w:r w:rsidRPr="005A23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المحددات الداخلية: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وتشمل المحددات الداخلية :</w:t>
      </w:r>
    </w:p>
    <w:p w:rsidR="004A39FC" w:rsidRDefault="005A23A7" w:rsidP="005A23A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4A39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حملة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A39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الأسهم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يلعب حملة الأسهم دورا هاما في مراقبة أداء الشركات بصفة عامة ، حيث أنه في إمكانهم التأثير على تحديد </w:t>
      </w:r>
      <w:r w:rsidR="004A39F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توجهات المصرف.</w:t>
      </w:r>
    </w:p>
    <w:p w:rsidR="004A39FC" w:rsidRDefault="004A39FC" w:rsidP="004A39F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A39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مجلس الإدارة</w:t>
      </w:r>
      <w:r w:rsidRPr="004A39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4A39F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وضع الاستراتيجيات وتوجيه الإدارة العليا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ووضع سياسات التشغيل وتحمل المسؤولية والتأكد من سلامة الموقف .</w:t>
      </w:r>
    </w:p>
    <w:p w:rsidR="004A39FC" w:rsidRDefault="004A39FC" w:rsidP="004A39F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A39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الإدارة التنفيذية: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لابد أن تكون لهم الكفاءة والنزاهة المطلوبتين لإدارة المصرف كما أنه عليهم أن يتعاملوا وفقا </w:t>
      </w:r>
      <w:r w:rsidR="00095CD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لأخلاقيا</w:t>
      </w:r>
      <w:r w:rsidR="00095CD6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المهنة .</w:t>
      </w:r>
    </w:p>
    <w:p w:rsidR="004A39FC" w:rsidRDefault="004A39FC" w:rsidP="004A39F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المراجعين الداخليين: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أصبح </w:t>
      </w:r>
      <w:r w:rsidR="00D500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للمراجعين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دورا هاما في تقييم عملية إدارة المخاطر.</w:t>
      </w:r>
    </w:p>
    <w:p w:rsidR="004A39FC" w:rsidRDefault="004A39FC" w:rsidP="004A39F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-2- المحددات الخارجية: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وتشمل جميع عناصر البيئة الخارجية المؤثرة على المصرف:</w:t>
      </w:r>
    </w:p>
    <w:p w:rsidR="000F3DDC" w:rsidRDefault="00AB443D" w:rsidP="004A39F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4A39F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4A39FC" w:rsidRPr="009D46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الإطار</w:t>
      </w:r>
      <w:r w:rsidR="004A39F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A39FC" w:rsidRPr="009D46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القانوني</w:t>
      </w:r>
      <w:r w:rsidR="004A39F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A39FC" w:rsidRPr="009D46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والتنظيمي</w:t>
      </w:r>
      <w:r w:rsidR="004A39F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A39FC" w:rsidRPr="009D46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والرقابي</w:t>
      </w:r>
      <w:r w:rsidR="004A39F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يعتبر وجود إطار تنظيمي وقانوني </w:t>
      </w:r>
      <w:r w:rsidR="000F3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متطور لنظام المصرف أمرا هاما وحيويا ، هذا </w:t>
      </w:r>
      <w:r w:rsidR="00D500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بالإضافة</w:t>
      </w:r>
      <w:r w:rsidR="000F3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الدور الرقابي للبنك المركزي.</w:t>
      </w:r>
    </w:p>
    <w:p w:rsidR="000F3DDC" w:rsidRDefault="00AB443D" w:rsidP="00AB6B53">
      <w:pPr>
        <w:tabs>
          <w:tab w:val="right" w:pos="765"/>
          <w:tab w:val="right" w:pos="7937"/>
        </w:tabs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</w:t>
      </w:r>
      <w:r w:rsidR="000F3DDC" w:rsidRPr="000F3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دور</w:t>
      </w:r>
      <w:r w:rsidR="000F3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F3DDC" w:rsidRPr="000F3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العامة:</w:t>
      </w:r>
      <w:r w:rsidR="000F3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F3DDC" w:rsidRPr="000F3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 مفهوم العامة يمكن أن يكون له تأثيرا</w:t>
      </w:r>
      <w:r w:rsidR="000F3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أكبر في إحكام الرقابة وفرض </w:t>
      </w:r>
      <w:r w:rsidR="00D967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انضباط</w:t>
      </w:r>
      <w:r w:rsidR="000F3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السوق على أداء المصرف ، إذا ما </w:t>
      </w:r>
      <w:r w:rsidR="00AB6B5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اتسع</w:t>
      </w:r>
      <w:r w:rsidR="000F3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ليشمل كل ما يأتي:</w:t>
      </w:r>
    </w:p>
    <w:p w:rsidR="000F3DDC" w:rsidRDefault="000F3DDC" w:rsidP="000F3DD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المودعين: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يتمثل دور المودعين في الرقابة على أداء الجهاز المصرفي في قدرتهم على سحب مدخراتهم.</w:t>
      </w:r>
    </w:p>
    <w:p w:rsidR="000F3DDC" w:rsidRDefault="000F3DDC" w:rsidP="000F3DD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 </w:t>
      </w:r>
      <w:r w:rsidRP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شبكة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الأمان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وصندوق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تأمين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الودائع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يعتبر التأمين على الودائع أحد أهم أشكال شبكة الأمان .</w:t>
      </w:r>
    </w:p>
    <w:p w:rsidR="000F3DDC" w:rsidRDefault="000F3DDC" w:rsidP="000F3DD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وسائل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الإعلام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يمكن لوسائل الإعلام أن تمارس الضغط على المصارف لنشر المعلومات ورفع كفاءة رأس المال البشري</w:t>
      </w:r>
      <w:r w:rsidR="00AB6B5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ومراعاة مصالح الفاعلين </w:t>
      </w:r>
      <w:r w:rsidR="00AB6B5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الآخرين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السوق بالإضافة إلى تأثيرهم على الرأي العام.</w:t>
      </w:r>
    </w:p>
    <w:p w:rsidR="000F3DDC" w:rsidRDefault="000F3DDC" w:rsidP="000F3DD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شركات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التصنيف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والتقييم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الائتماني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تساعد مؤسسات التقييم على دعم الالتزام في السوق .</w:t>
      </w:r>
    </w:p>
    <w:p w:rsidR="007770F4" w:rsidRDefault="00AB443D" w:rsidP="000F3DD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</w:t>
      </w:r>
      <w:r w:rsidR="000F3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0F3DDC" w:rsidRP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نظام</w:t>
      </w:r>
      <w:r w:rsidR="000F3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F3DDC" w:rsidRP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مالي</w:t>
      </w:r>
      <w:r w:rsidR="000F3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F3DDC" w:rsidRP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جيد</w:t>
      </w:r>
      <w:r w:rsidR="00AB6B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0F3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يضمن توفير التمويل اللازم للمشروعات بالشكل المناسب الذي يشجع المصرف على الاستمرار والمنافسة .</w:t>
      </w:r>
    </w:p>
    <w:p w:rsidR="007770F4" w:rsidRDefault="007770F4" w:rsidP="007770F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خامسا: مبادئ لجنة بازل </w:t>
      </w:r>
      <w:r w:rsidR="005A48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للإشراف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المصرفي للحوكمة المصرفية: </w:t>
      </w:r>
    </w:p>
    <w:p w:rsidR="007770F4" w:rsidRDefault="007770F4" w:rsidP="007770F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المبدأ الأول: كفاءة أعضاء مجلس الإدارة: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يجب أن يكون أعضاء مجلس الإدارة مؤهلين للقيام بوظائفهم ولديهم إدراك واضح وكامل لدورهم ، وعدم خضوعهم لأي تأثيرات داخلية أو خارجية ، وأن يكون لديهم القدرة على إصدار القرارات المناسبة لإدارة </w:t>
      </w:r>
      <w:r w:rsid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شؤون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المصرف.</w:t>
      </w:r>
    </w:p>
    <w:p w:rsidR="007770F4" w:rsidRDefault="007770F4" w:rsidP="007770F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المبدأ الثاني : صياغة ومتابعة تنفيذ الأهداف: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وضع </w:t>
      </w:r>
      <w:r w:rsid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الأهداف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الإستراتيجية للمصرف من قبل مجلس الإدارة ومتابعة تنفيذ تلك الأهداف ، والقيم المؤسسية التي يتم التعامل بها داخل المؤسسة المصرفية ، كما يجب أن تكون معلنة لكل العاملين في المصرف .</w:t>
      </w:r>
    </w:p>
    <w:p w:rsidR="007770F4" w:rsidRDefault="007770F4" w:rsidP="007770F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المبدأ الثالث:منح الصلاحيات والمسؤوليات: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غن منح الصلاحيات </w:t>
      </w:r>
      <w:r w:rsidR="00F12A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والمسؤوليا</w:t>
      </w:r>
      <w:r w:rsidR="00F12A89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قبل مجلس الإدارة ووضع قواعد وحدود واضحة ، والمسائلة والمحاسبة داخل المصرف سواء لأعضاء مجلس الإدارة أو لجميع العاملين في المصرف وعلى حد سواء.</w:t>
      </w:r>
    </w:p>
    <w:p w:rsidR="00745274" w:rsidRDefault="007770F4" w:rsidP="0074527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المبدأ الرابع: نظام فعال </w:t>
      </w:r>
      <w:r w:rsidR="005A48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للرقابة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الداخلية: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مجلس الإدارة أن يضمن توفر نظام فعال للرقابة الداخلية في المصرف</w:t>
      </w:r>
      <w:r w:rsidR="007452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وإدراك المراقبين </w:t>
      </w:r>
      <w:r w:rsid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لأهمية</w:t>
      </w:r>
      <w:r w:rsidR="007452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دورهم.</w:t>
      </w:r>
    </w:p>
    <w:p w:rsidR="00745274" w:rsidRDefault="00745274" w:rsidP="0074527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المبدأ الخامس: مراقبة المخاطر: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مراقبة خاصة للمخاطر في المواقع التي تتضارب فيها المصالح ، بما في ذلك علاقة الموظفين مع المقترضين المرتبطين بالمصرف وكبار المساهمين والإدارة العليا.</w:t>
      </w:r>
    </w:p>
    <w:p w:rsidR="00B31AC3" w:rsidRDefault="00745274" w:rsidP="00F12A8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المبدأ السادس: توافق </w:t>
      </w:r>
      <w:r w:rsidR="005A48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المكافآت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والحوافز مع الأهداف:</w:t>
      </w:r>
      <w:r w:rsidR="00B31A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</w:t>
      </w:r>
      <w:r w:rsidR="00F12A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تتوافق</w:t>
      </w:r>
      <w:r w:rsidR="00B31A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سياسات </w:t>
      </w:r>
      <w:r w:rsid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المكافآت</w:t>
      </w:r>
      <w:r w:rsidR="00B31A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المالية والحوافز وتطبيقاتها مع الأنظمة المصرفية والثقافة العامة للمصرف ومع الإستراتيجيات </w:t>
      </w:r>
      <w:r w:rsid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والأهداف</w:t>
      </w:r>
      <w:r w:rsidR="00B31A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الإستراتيجية للمصرف.</w:t>
      </w:r>
    </w:p>
    <w:p w:rsidR="00B31AC3" w:rsidRDefault="00B31AC3" w:rsidP="00B31AC3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="005A48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المبد</w:t>
      </w:r>
      <w:r w:rsidR="005A48F6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السابع: الشفافية والإفصاح: </w:t>
      </w:r>
      <w:r w:rsidRP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توافر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الشفافية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والإفصاح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كافة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الأعمال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والأنشطة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والتقارير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الصادرة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5A48F6" w:rsidRDefault="00B31AC3" w:rsidP="00B31AC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المبدأ الثامن : </w:t>
      </w:r>
      <w:r w:rsidR="005A48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الالتزام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A48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بالقوانين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والتعليمات 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تفهم أعضاء مجلس الإدارة والإدارة التنفيذية والعليا للبيئة التشريعية التي تحكم عمل المصرف والالتزام </w:t>
      </w:r>
      <w:r w:rsid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بالقوانين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والتعليمات .</w:t>
      </w:r>
    </w:p>
    <w:p w:rsidR="00B31AC3" w:rsidRDefault="00B31AC3" w:rsidP="005A48F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توضيح هذه المبادئ وفق الشكل التالي: </w:t>
      </w:r>
    </w:p>
    <w:p w:rsidR="002C421F" w:rsidRDefault="002C421F" w:rsidP="002C421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C421F" w:rsidRDefault="002C421F" w:rsidP="002C421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C421F" w:rsidRDefault="002C421F" w:rsidP="002C421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C421F" w:rsidRDefault="002C421F" w:rsidP="002C421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C421F" w:rsidRDefault="002C421F" w:rsidP="002C421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A23A7" w:rsidRPr="000F3DDC" w:rsidRDefault="00B31AC3" w:rsidP="005A48F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الشكل 1</w:t>
      </w:r>
      <w:r w:rsidR="005A4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يوضح مبادئ الحوكمة المصرفية وفق </w:t>
      </w:r>
      <w:r w:rsidRPr="00123A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بنك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23A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التسويات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23A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الدولية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23A9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BIS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A23A7" w:rsidRPr="000F3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720031" w:rsidRDefault="00720031" w:rsidP="005A23A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20031" w:rsidRPr="006C6B90" w:rsidRDefault="00942D22" w:rsidP="0072003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42D22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roundrect id="_x0000_s2061" style="position:absolute;left:0;text-align:left;margin-left:277.1pt;margin-top:136.95pt;width:243.8pt;height:34pt;rotation:270;z-index:251669504" arcsize="10923f" fillcolor="#4f81bd [3204]" strokecolor="#f2f2f2 [3041]" strokeweight="3pt">
            <v:shadow on="t" type="perspective" color="#243f60 [1604]" opacity=".5" offset="1pt" offset2="-1pt"/>
            <v:textbox style="layout-flow:vertical;mso-layout-flow-alt:bottom-to-top">
              <w:txbxContent>
                <w:p w:rsidR="00DC5299" w:rsidRPr="00DC5299" w:rsidRDefault="00DC5299" w:rsidP="00DC5299">
                  <w:pPr>
                    <w:bidi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DC5299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مبادئ الحوكمة المصرفية وفق</w:t>
                  </w:r>
                  <w:r w:rsidRPr="00DC5299">
                    <w:rPr>
                      <w:sz w:val="28"/>
                      <w:szCs w:val="28"/>
                      <w:lang w:bidi="ar-DZ"/>
                    </w:rPr>
                    <w:t xml:space="preserve">  B I S 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58" style="position:absolute;left:0;text-align:left;margin-left:63.35pt;margin-top:30.4pt;width:172.9pt;height:31.2pt;z-index:251666432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7DCA" w:rsidRDefault="00B97DCA" w:rsidP="00B97DCA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كفاءة أعضاء مجلس </w:t>
                  </w:r>
                  <w:r w:rsidR="005A48F6">
                    <w:rPr>
                      <w:rFonts w:hint="cs"/>
                      <w:rtl/>
                      <w:lang w:bidi="ar-DZ"/>
                    </w:rPr>
                    <w:t>الإدارة</w:t>
                  </w:r>
                </w:p>
              </w:txbxContent>
            </v:textbox>
          </v:roundrect>
        </w:pict>
      </w:r>
    </w:p>
    <w:p w:rsidR="00E17379" w:rsidRDefault="00942D22" w:rsidP="00E1737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42D22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3" type="#_x0000_t32" style="position:absolute;left:0;text-align:left;margin-left:238.05pt;margin-top:133.4pt;width:145.15pt;height:3.6pt;flip:x;z-index:251674624" o:connectortype="straight">
            <v:stroke endarrow="block"/>
          </v:shape>
        </w:pict>
      </w:r>
      <w:r w:rsidRPr="00942D22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2063" type="#_x0000_t32" style="position:absolute;left:0;text-align:left;margin-left:235.55pt;margin-top:173pt;width:148.25pt;height:.05pt;flip:x;z-index:251670528" o:connectortype="straight">
            <v:stroke endarrow="block"/>
          </v:shape>
        </w:pict>
      </w:r>
      <w:r w:rsidRPr="00942D22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2076" type="#_x0000_t32" style="position:absolute;left:0;text-align:left;margin-left:237.45pt;margin-top:11.6pt;width:145.15pt;height:3.6pt;flip:x;z-index:251677696" o:connectortype="straight">
            <v:stroke endarrow="block"/>
          </v:shape>
        </w:pict>
      </w:r>
      <w:r w:rsidRPr="00942D22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2075" type="#_x0000_t32" style="position:absolute;left:0;text-align:left;margin-left:237.45pt;margin-top:237.2pt;width:145.15pt;height:3.6pt;flip:x;z-index:251676672" o:connectortype="straight">
            <v:stroke endarrow="block"/>
          </v:shape>
        </w:pict>
      </w:r>
      <w:r w:rsidRPr="00942D22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2074" type="#_x0000_t32" style="position:absolute;left:0;text-align:left;margin-left:235.65pt;margin-top:202.4pt;width:145.15pt;height:3.6pt;flip:x;z-index:251675648" o:connectortype="straight">
            <v:stroke endarrow="block"/>
          </v:shape>
        </w:pict>
      </w:r>
      <w:r w:rsidRPr="00942D22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2072" type="#_x0000_t32" style="position:absolute;left:0;text-align:left;margin-left:238.65pt;margin-top:105.2pt;width:145.15pt;height:3.6pt;flip:x;z-index:251673600" o:connectortype="straight">
            <v:stroke endarrow="block"/>
          </v:shape>
        </w:pict>
      </w:r>
      <w:r w:rsidRPr="00942D22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2065" type="#_x0000_t32" style="position:absolute;left:0;text-align:left;margin-left:235.65pt;margin-top:46.4pt;width:145.15pt;height:3.6pt;flip:x;z-index:251671552" o:connectortype="straight">
            <v:stroke endarrow="block"/>
          </v:shape>
        </w:pict>
      </w:r>
      <w:r w:rsidRPr="00942D22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2071" type="#_x0000_t32" style="position:absolute;left:0;text-align:left;margin-left:236.25pt;margin-top:74.6pt;width:145.15pt;height:3.6pt;flip:x;z-index:251672576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60" style="position:absolute;left:0;text-align:left;margin-left:63.95pt;margin-top:222.8pt;width:172.9pt;height:31.2pt;z-index:251668480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DC5299" w:rsidRDefault="005A48F6" w:rsidP="00DC5299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الالتزام</w:t>
                  </w:r>
                  <w:r w:rsidR="00DC5299"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DZ"/>
                    </w:rPr>
                    <w:t>بالقوانين</w:t>
                  </w:r>
                  <w:r w:rsidR="00DC5299">
                    <w:rPr>
                      <w:rFonts w:hint="cs"/>
                      <w:rtl/>
                      <w:lang w:bidi="ar-DZ"/>
                    </w:rPr>
                    <w:t xml:space="preserve"> والتعليمات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55" style="position:absolute;left:0;text-align:left;margin-left:62.75pt;margin-top:29.6pt;width:172.9pt;height:31.2pt;z-index:251663360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7DCA" w:rsidRDefault="00B97DCA" w:rsidP="00B97DCA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صياغة ومتابعة تنفيذ الأهداف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54" style="position:absolute;left:0;text-align:left;margin-left:63.35pt;margin-top:62pt;width:172.9pt;height:31.2pt;z-index:25166233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7DCA" w:rsidRDefault="00DC5299" w:rsidP="00B97DCA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منح الصلاحيات والمسؤوليات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52" style="position:absolute;left:0;text-align:left;margin-left:62.75pt;margin-top:93.8pt;width:172.9pt;height:31.2pt;z-index:251661312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DC5299" w:rsidRDefault="00DC5299" w:rsidP="00DC5299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نظام فعال للرقابة الداخلية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56" style="position:absolute;left:0;text-align:left;margin-left:62.75pt;margin-top:125.6pt;width:172.9pt;height:31.2pt;z-index:251664384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DC5299" w:rsidRDefault="00DC5299" w:rsidP="00DC5299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مراقبة المخاطر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59" style="position:absolute;left:0;text-align:left;margin-left:63.35pt;margin-top:190.4pt;width:172.9pt;height:31.2pt;z-index:25166745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DC5299" w:rsidRDefault="00DC5299" w:rsidP="009433AE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الشفافية والإ</w:t>
                  </w:r>
                  <w:r w:rsidR="009433AE">
                    <w:rPr>
                      <w:rFonts w:hint="cs"/>
                      <w:rtl/>
                      <w:lang w:bidi="ar-DZ"/>
                    </w:rPr>
                    <w:t>ف</w:t>
                  </w:r>
                  <w:r>
                    <w:rPr>
                      <w:rFonts w:hint="cs"/>
                      <w:rtl/>
                      <w:lang w:bidi="ar-DZ"/>
                    </w:rPr>
                    <w:t>صاح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57" style="position:absolute;left:0;text-align:left;margin-left:63.35pt;margin-top:158pt;width:172.9pt;height:31.2pt;z-index:251665408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DC5299" w:rsidRDefault="00DC5299" w:rsidP="00DC5299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توافق </w:t>
                  </w:r>
                  <w:r w:rsidR="005A48F6">
                    <w:rPr>
                      <w:rFonts w:hint="cs"/>
                      <w:rtl/>
                      <w:lang w:bidi="ar-DZ"/>
                    </w:rPr>
                    <w:t>المكافآت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والحوافز مع الأهداف</w:t>
                  </w:r>
                </w:p>
              </w:txbxContent>
            </v:textbox>
          </v:roundrect>
        </w:pict>
      </w:r>
    </w:p>
    <w:sectPr w:rsidR="00E17379" w:rsidSect="00AD412F">
      <w:headerReference w:type="default" r:id="rId8"/>
      <w:pgSz w:w="11906" w:h="16838"/>
      <w:pgMar w:top="289" w:right="1701" w:bottom="39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6C6" w:rsidRDefault="002C36C6" w:rsidP="00BA25C8">
      <w:pPr>
        <w:spacing w:after="0" w:line="240" w:lineRule="auto"/>
      </w:pPr>
      <w:r>
        <w:separator/>
      </w:r>
    </w:p>
  </w:endnote>
  <w:endnote w:type="continuationSeparator" w:id="1">
    <w:p w:rsidR="002C36C6" w:rsidRDefault="002C36C6" w:rsidP="00BA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6C6" w:rsidRDefault="002C36C6" w:rsidP="00BA25C8">
      <w:pPr>
        <w:spacing w:after="0" w:line="240" w:lineRule="auto"/>
      </w:pPr>
      <w:r>
        <w:separator/>
      </w:r>
    </w:p>
  </w:footnote>
  <w:footnote w:type="continuationSeparator" w:id="1">
    <w:p w:rsidR="002C36C6" w:rsidRDefault="002C36C6" w:rsidP="00BA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08" w:rsidRDefault="005C5008" w:rsidP="002E0922">
    <w:pPr>
      <w:pStyle w:val="Pieddepage"/>
      <w:spacing w:before="240"/>
      <w:jc w:val="right"/>
    </w:pPr>
  </w:p>
  <w:p w:rsidR="005C5008" w:rsidRDefault="005C5008" w:rsidP="00BA25C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75B"/>
      </v:shape>
    </w:pict>
  </w:numPicBullet>
  <w:abstractNum w:abstractNumId="0">
    <w:nsid w:val="09FB2668"/>
    <w:multiLevelType w:val="hybridMultilevel"/>
    <w:tmpl w:val="3AECD5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528F"/>
    <w:multiLevelType w:val="hybridMultilevel"/>
    <w:tmpl w:val="B5FE62A6"/>
    <w:lvl w:ilvl="0" w:tplc="04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08C72CB"/>
    <w:multiLevelType w:val="hybridMultilevel"/>
    <w:tmpl w:val="2B1C47FA"/>
    <w:lvl w:ilvl="0" w:tplc="1A3267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7A7B"/>
    <w:multiLevelType w:val="hybridMultilevel"/>
    <w:tmpl w:val="98A0B4C8"/>
    <w:lvl w:ilvl="0" w:tplc="4B3CCCBA">
      <w:start w:val="1"/>
      <w:numFmt w:val="arabicAlpha"/>
      <w:lvlText w:val="%1-"/>
      <w:lvlJc w:val="left"/>
      <w:pPr>
        <w:ind w:left="92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011" w:hanging="360"/>
      </w:pPr>
    </w:lvl>
    <w:lvl w:ilvl="2" w:tplc="040C001B" w:tentative="1">
      <w:start w:val="1"/>
      <w:numFmt w:val="lowerRoman"/>
      <w:lvlText w:val="%3."/>
      <w:lvlJc w:val="right"/>
      <w:pPr>
        <w:ind w:left="10731" w:hanging="180"/>
      </w:pPr>
    </w:lvl>
    <w:lvl w:ilvl="3" w:tplc="040C000F" w:tentative="1">
      <w:start w:val="1"/>
      <w:numFmt w:val="decimal"/>
      <w:lvlText w:val="%4."/>
      <w:lvlJc w:val="left"/>
      <w:pPr>
        <w:ind w:left="11451" w:hanging="360"/>
      </w:pPr>
    </w:lvl>
    <w:lvl w:ilvl="4" w:tplc="040C0019" w:tentative="1">
      <w:start w:val="1"/>
      <w:numFmt w:val="lowerLetter"/>
      <w:lvlText w:val="%5."/>
      <w:lvlJc w:val="left"/>
      <w:pPr>
        <w:ind w:left="12171" w:hanging="360"/>
      </w:pPr>
    </w:lvl>
    <w:lvl w:ilvl="5" w:tplc="040C001B" w:tentative="1">
      <w:start w:val="1"/>
      <w:numFmt w:val="lowerRoman"/>
      <w:lvlText w:val="%6."/>
      <w:lvlJc w:val="right"/>
      <w:pPr>
        <w:ind w:left="12891" w:hanging="180"/>
      </w:pPr>
    </w:lvl>
    <w:lvl w:ilvl="6" w:tplc="040C000F" w:tentative="1">
      <w:start w:val="1"/>
      <w:numFmt w:val="decimal"/>
      <w:lvlText w:val="%7."/>
      <w:lvlJc w:val="left"/>
      <w:pPr>
        <w:ind w:left="13611" w:hanging="360"/>
      </w:pPr>
    </w:lvl>
    <w:lvl w:ilvl="7" w:tplc="040C0019" w:tentative="1">
      <w:start w:val="1"/>
      <w:numFmt w:val="lowerLetter"/>
      <w:lvlText w:val="%8."/>
      <w:lvlJc w:val="left"/>
      <w:pPr>
        <w:ind w:left="14331" w:hanging="360"/>
      </w:pPr>
    </w:lvl>
    <w:lvl w:ilvl="8" w:tplc="040C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4">
    <w:nsid w:val="1646371A"/>
    <w:multiLevelType w:val="hybridMultilevel"/>
    <w:tmpl w:val="262A8D38"/>
    <w:lvl w:ilvl="0" w:tplc="BDB8C3DA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36CE0"/>
    <w:multiLevelType w:val="hybridMultilevel"/>
    <w:tmpl w:val="2B7CBFE8"/>
    <w:lvl w:ilvl="0" w:tplc="4E84A494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647BE"/>
    <w:multiLevelType w:val="hybridMultilevel"/>
    <w:tmpl w:val="FA5C5272"/>
    <w:lvl w:ilvl="0" w:tplc="66508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35B63"/>
    <w:multiLevelType w:val="hybridMultilevel"/>
    <w:tmpl w:val="370424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917E82"/>
    <w:multiLevelType w:val="hybridMultilevel"/>
    <w:tmpl w:val="6FB02B3A"/>
    <w:lvl w:ilvl="0" w:tplc="9E444178">
      <w:start w:val="1"/>
      <w:numFmt w:val="decimal"/>
      <w:lvlText w:val="%1-"/>
      <w:lvlJc w:val="left"/>
      <w:pPr>
        <w:ind w:left="5115" w:hanging="511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C668E"/>
    <w:multiLevelType w:val="hybridMultilevel"/>
    <w:tmpl w:val="95F8DBEC"/>
    <w:lvl w:ilvl="0" w:tplc="8780B1F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92B92"/>
    <w:multiLevelType w:val="hybridMultilevel"/>
    <w:tmpl w:val="3D986D5C"/>
    <w:lvl w:ilvl="0" w:tplc="B85299DC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C360B"/>
    <w:multiLevelType w:val="hybridMultilevel"/>
    <w:tmpl w:val="A726C814"/>
    <w:lvl w:ilvl="0" w:tplc="27181FB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3F38"/>
    <w:multiLevelType w:val="hybridMultilevel"/>
    <w:tmpl w:val="8A52CF58"/>
    <w:lvl w:ilvl="0" w:tplc="FA4CDE6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20CB5"/>
    <w:multiLevelType w:val="hybridMultilevel"/>
    <w:tmpl w:val="510EE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3043B"/>
    <w:multiLevelType w:val="hybridMultilevel"/>
    <w:tmpl w:val="C86C743C"/>
    <w:lvl w:ilvl="0" w:tplc="BFEA1340">
      <w:start w:val="1"/>
      <w:numFmt w:val="arabicAlpha"/>
      <w:lvlText w:val="%1-"/>
      <w:lvlJc w:val="left"/>
      <w:pPr>
        <w:ind w:left="5652" w:hanging="529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D4C86"/>
    <w:multiLevelType w:val="hybridMultilevel"/>
    <w:tmpl w:val="FD0ECE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47843"/>
    <w:multiLevelType w:val="hybridMultilevel"/>
    <w:tmpl w:val="04BC0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A7832"/>
    <w:multiLevelType w:val="hybridMultilevel"/>
    <w:tmpl w:val="B7EA1DB2"/>
    <w:lvl w:ilvl="0" w:tplc="040C0005">
      <w:start w:val="1"/>
      <w:numFmt w:val="bullet"/>
      <w:lvlText w:val=""/>
      <w:lvlJc w:val="left"/>
      <w:pPr>
        <w:ind w:left="11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8">
    <w:nsid w:val="3F3D55C5"/>
    <w:multiLevelType w:val="hybridMultilevel"/>
    <w:tmpl w:val="EA16EDA0"/>
    <w:lvl w:ilvl="0" w:tplc="E698EF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E70B2"/>
    <w:multiLevelType w:val="hybridMultilevel"/>
    <w:tmpl w:val="35CACCD2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AF969A8"/>
    <w:multiLevelType w:val="hybridMultilevel"/>
    <w:tmpl w:val="FE9683BA"/>
    <w:lvl w:ilvl="0" w:tplc="E6A83858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9575D"/>
    <w:multiLevelType w:val="hybridMultilevel"/>
    <w:tmpl w:val="86A2925C"/>
    <w:lvl w:ilvl="0" w:tplc="040C0005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2">
    <w:nsid w:val="55501F8B"/>
    <w:multiLevelType w:val="hybridMultilevel"/>
    <w:tmpl w:val="2288FB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F62FF"/>
    <w:multiLevelType w:val="hybridMultilevel"/>
    <w:tmpl w:val="2A56B3CC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575C3A65"/>
    <w:multiLevelType w:val="hybridMultilevel"/>
    <w:tmpl w:val="A78E8BE4"/>
    <w:lvl w:ilvl="0" w:tplc="D2442B82"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6A36B3"/>
    <w:multiLevelType w:val="hybridMultilevel"/>
    <w:tmpl w:val="C19AC74A"/>
    <w:lvl w:ilvl="0" w:tplc="359644A4">
      <w:numFmt w:val="bullet"/>
      <w:lvlText w:val="-"/>
      <w:lvlJc w:val="left"/>
      <w:pPr>
        <w:ind w:left="444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6">
    <w:nsid w:val="667275B4"/>
    <w:multiLevelType w:val="hybridMultilevel"/>
    <w:tmpl w:val="C554E5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82E70"/>
    <w:multiLevelType w:val="hybridMultilevel"/>
    <w:tmpl w:val="D67CF88C"/>
    <w:lvl w:ilvl="0" w:tplc="040C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6E26059A"/>
    <w:multiLevelType w:val="hybridMultilevel"/>
    <w:tmpl w:val="10421D1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85454"/>
    <w:multiLevelType w:val="hybridMultilevel"/>
    <w:tmpl w:val="D4E27FB8"/>
    <w:lvl w:ilvl="0" w:tplc="F81E3E1A">
      <w:start w:val="1"/>
      <w:numFmt w:val="decimal"/>
      <w:lvlText w:val="%1-"/>
      <w:lvlJc w:val="left"/>
      <w:pPr>
        <w:ind w:left="4429" w:hanging="52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72334CE0"/>
    <w:multiLevelType w:val="hybridMultilevel"/>
    <w:tmpl w:val="2F5EB8E2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444E9"/>
    <w:multiLevelType w:val="hybridMultilevel"/>
    <w:tmpl w:val="9190E7DE"/>
    <w:lvl w:ilvl="0" w:tplc="F1249ECC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2622EE"/>
    <w:multiLevelType w:val="hybridMultilevel"/>
    <w:tmpl w:val="96BAF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3515DD"/>
    <w:multiLevelType w:val="hybridMultilevel"/>
    <w:tmpl w:val="B7C46D5A"/>
    <w:lvl w:ilvl="0" w:tplc="040C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78AD5CF6"/>
    <w:multiLevelType w:val="hybridMultilevel"/>
    <w:tmpl w:val="B3125DF0"/>
    <w:lvl w:ilvl="0" w:tplc="DAB873A2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77710"/>
    <w:multiLevelType w:val="hybridMultilevel"/>
    <w:tmpl w:val="F23EC3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B10B2"/>
    <w:multiLevelType w:val="hybridMultilevel"/>
    <w:tmpl w:val="8938D10C"/>
    <w:lvl w:ilvl="0" w:tplc="BFAA857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B3A25"/>
    <w:multiLevelType w:val="hybridMultilevel"/>
    <w:tmpl w:val="369ED6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7"/>
  </w:num>
  <w:num w:numId="4">
    <w:abstractNumId w:val="0"/>
  </w:num>
  <w:num w:numId="5">
    <w:abstractNumId w:val="8"/>
  </w:num>
  <w:num w:numId="6">
    <w:abstractNumId w:val="29"/>
  </w:num>
  <w:num w:numId="7">
    <w:abstractNumId w:val="19"/>
  </w:num>
  <w:num w:numId="8">
    <w:abstractNumId w:val="2"/>
  </w:num>
  <w:num w:numId="9">
    <w:abstractNumId w:val="12"/>
  </w:num>
  <w:num w:numId="10">
    <w:abstractNumId w:val="36"/>
  </w:num>
  <w:num w:numId="11">
    <w:abstractNumId w:val="14"/>
  </w:num>
  <w:num w:numId="12">
    <w:abstractNumId w:val="26"/>
  </w:num>
  <w:num w:numId="13">
    <w:abstractNumId w:val="33"/>
  </w:num>
  <w:num w:numId="14">
    <w:abstractNumId w:val="27"/>
  </w:num>
  <w:num w:numId="15">
    <w:abstractNumId w:val="1"/>
  </w:num>
  <w:num w:numId="16">
    <w:abstractNumId w:val="23"/>
  </w:num>
  <w:num w:numId="17">
    <w:abstractNumId w:val="30"/>
  </w:num>
  <w:num w:numId="18">
    <w:abstractNumId w:val="17"/>
  </w:num>
  <w:num w:numId="19">
    <w:abstractNumId w:val="21"/>
  </w:num>
  <w:num w:numId="20">
    <w:abstractNumId w:val="9"/>
  </w:num>
  <w:num w:numId="21">
    <w:abstractNumId w:val="32"/>
  </w:num>
  <w:num w:numId="22">
    <w:abstractNumId w:val="6"/>
  </w:num>
  <w:num w:numId="23">
    <w:abstractNumId w:val="16"/>
  </w:num>
  <w:num w:numId="24">
    <w:abstractNumId w:val="35"/>
  </w:num>
  <w:num w:numId="25">
    <w:abstractNumId w:val="28"/>
  </w:num>
  <w:num w:numId="26">
    <w:abstractNumId w:val="13"/>
  </w:num>
  <w:num w:numId="27">
    <w:abstractNumId w:val="22"/>
  </w:num>
  <w:num w:numId="28">
    <w:abstractNumId w:val="15"/>
  </w:num>
  <w:num w:numId="29">
    <w:abstractNumId w:val="18"/>
  </w:num>
  <w:num w:numId="30">
    <w:abstractNumId w:val="34"/>
  </w:num>
  <w:num w:numId="31">
    <w:abstractNumId w:val="10"/>
  </w:num>
  <w:num w:numId="32">
    <w:abstractNumId w:val="20"/>
  </w:num>
  <w:num w:numId="33">
    <w:abstractNumId w:val="25"/>
  </w:num>
  <w:num w:numId="34">
    <w:abstractNumId w:val="5"/>
  </w:num>
  <w:num w:numId="35">
    <w:abstractNumId w:val="11"/>
  </w:num>
  <w:num w:numId="36">
    <w:abstractNumId w:val="24"/>
  </w:num>
  <w:num w:numId="37">
    <w:abstractNumId w:val="31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BA25C8"/>
    <w:rsid w:val="00001255"/>
    <w:rsid w:val="0000150F"/>
    <w:rsid w:val="00002DD5"/>
    <w:rsid w:val="0000381F"/>
    <w:rsid w:val="000051CA"/>
    <w:rsid w:val="00021867"/>
    <w:rsid w:val="000243D3"/>
    <w:rsid w:val="00043AA9"/>
    <w:rsid w:val="00052AED"/>
    <w:rsid w:val="000619FF"/>
    <w:rsid w:val="0006538A"/>
    <w:rsid w:val="00070828"/>
    <w:rsid w:val="000758FE"/>
    <w:rsid w:val="00075FB2"/>
    <w:rsid w:val="00076F36"/>
    <w:rsid w:val="00080242"/>
    <w:rsid w:val="000878E5"/>
    <w:rsid w:val="00092A04"/>
    <w:rsid w:val="00095CD6"/>
    <w:rsid w:val="000A1FDA"/>
    <w:rsid w:val="000A34DD"/>
    <w:rsid w:val="000B3858"/>
    <w:rsid w:val="000B3B87"/>
    <w:rsid w:val="000B4906"/>
    <w:rsid w:val="000C228E"/>
    <w:rsid w:val="000C313B"/>
    <w:rsid w:val="000C7F96"/>
    <w:rsid w:val="000E5CAE"/>
    <w:rsid w:val="000E6E4B"/>
    <w:rsid w:val="000F3DDC"/>
    <w:rsid w:val="000F651E"/>
    <w:rsid w:val="00104A6A"/>
    <w:rsid w:val="00107FB1"/>
    <w:rsid w:val="001119B1"/>
    <w:rsid w:val="00111E76"/>
    <w:rsid w:val="00114988"/>
    <w:rsid w:val="001160C6"/>
    <w:rsid w:val="00121501"/>
    <w:rsid w:val="00123A97"/>
    <w:rsid w:val="001343C4"/>
    <w:rsid w:val="001362A7"/>
    <w:rsid w:val="001619FE"/>
    <w:rsid w:val="00163896"/>
    <w:rsid w:val="00167281"/>
    <w:rsid w:val="00171A07"/>
    <w:rsid w:val="001729D8"/>
    <w:rsid w:val="00174470"/>
    <w:rsid w:val="00175A87"/>
    <w:rsid w:val="00180352"/>
    <w:rsid w:val="00182503"/>
    <w:rsid w:val="00183938"/>
    <w:rsid w:val="00183D4E"/>
    <w:rsid w:val="00183D59"/>
    <w:rsid w:val="001852E0"/>
    <w:rsid w:val="00191214"/>
    <w:rsid w:val="00194203"/>
    <w:rsid w:val="00195307"/>
    <w:rsid w:val="001A3170"/>
    <w:rsid w:val="001A4039"/>
    <w:rsid w:val="001A5BF2"/>
    <w:rsid w:val="001B1E43"/>
    <w:rsid w:val="001B485F"/>
    <w:rsid w:val="001B5F45"/>
    <w:rsid w:val="001B69B3"/>
    <w:rsid w:val="001C1D7B"/>
    <w:rsid w:val="001C29A0"/>
    <w:rsid w:val="001C5156"/>
    <w:rsid w:val="001D2924"/>
    <w:rsid w:val="001E1596"/>
    <w:rsid w:val="001F60DD"/>
    <w:rsid w:val="001F7C19"/>
    <w:rsid w:val="0021483B"/>
    <w:rsid w:val="00217A4C"/>
    <w:rsid w:val="00222847"/>
    <w:rsid w:val="00227061"/>
    <w:rsid w:val="00245561"/>
    <w:rsid w:val="00247E9B"/>
    <w:rsid w:val="002538DA"/>
    <w:rsid w:val="00262293"/>
    <w:rsid w:val="0026362B"/>
    <w:rsid w:val="0026582A"/>
    <w:rsid w:val="00265CF6"/>
    <w:rsid w:val="00270034"/>
    <w:rsid w:val="00273999"/>
    <w:rsid w:val="002753B9"/>
    <w:rsid w:val="00276184"/>
    <w:rsid w:val="00280C59"/>
    <w:rsid w:val="00281057"/>
    <w:rsid w:val="0028359A"/>
    <w:rsid w:val="002870FF"/>
    <w:rsid w:val="002902C5"/>
    <w:rsid w:val="002A0C40"/>
    <w:rsid w:val="002A58A6"/>
    <w:rsid w:val="002B1DBA"/>
    <w:rsid w:val="002B2743"/>
    <w:rsid w:val="002B3349"/>
    <w:rsid w:val="002B7E93"/>
    <w:rsid w:val="002C36C6"/>
    <w:rsid w:val="002C421F"/>
    <w:rsid w:val="002C7023"/>
    <w:rsid w:val="002D186F"/>
    <w:rsid w:val="002D43BC"/>
    <w:rsid w:val="002D4E42"/>
    <w:rsid w:val="002D512F"/>
    <w:rsid w:val="002D64C5"/>
    <w:rsid w:val="002E0922"/>
    <w:rsid w:val="002E23FA"/>
    <w:rsid w:val="002E4A5E"/>
    <w:rsid w:val="002F230E"/>
    <w:rsid w:val="002F35BF"/>
    <w:rsid w:val="003029C5"/>
    <w:rsid w:val="00303A7E"/>
    <w:rsid w:val="00305614"/>
    <w:rsid w:val="00306BE0"/>
    <w:rsid w:val="003106D1"/>
    <w:rsid w:val="0031212D"/>
    <w:rsid w:val="00313A3D"/>
    <w:rsid w:val="00316989"/>
    <w:rsid w:val="00323B2F"/>
    <w:rsid w:val="003260A8"/>
    <w:rsid w:val="00330867"/>
    <w:rsid w:val="003438B6"/>
    <w:rsid w:val="003455AB"/>
    <w:rsid w:val="00345695"/>
    <w:rsid w:val="00346A65"/>
    <w:rsid w:val="00346B23"/>
    <w:rsid w:val="00347287"/>
    <w:rsid w:val="00352391"/>
    <w:rsid w:val="00353855"/>
    <w:rsid w:val="00355554"/>
    <w:rsid w:val="00365997"/>
    <w:rsid w:val="003704FD"/>
    <w:rsid w:val="003713A2"/>
    <w:rsid w:val="003735CD"/>
    <w:rsid w:val="00373EB3"/>
    <w:rsid w:val="003765E4"/>
    <w:rsid w:val="00376FCF"/>
    <w:rsid w:val="003811FC"/>
    <w:rsid w:val="00381C4E"/>
    <w:rsid w:val="00382255"/>
    <w:rsid w:val="00386325"/>
    <w:rsid w:val="00390689"/>
    <w:rsid w:val="00393814"/>
    <w:rsid w:val="003944DE"/>
    <w:rsid w:val="003961AE"/>
    <w:rsid w:val="00397ADD"/>
    <w:rsid w:val="003A170A"/>
    <w:rsid w:val="003A5F3F"/>
    <w:rsid w:val="003A6CC4"/>
    <w:rsid w:val="003A7536"/>
    <w:rsid w:val="003B0005"/>
    <w:rsid w:val="003B1DF8"/>
    <w:rsid w:val="003B6324"/>
    <w:rsid w:val="003B6DDD"/>
    <w:rsid w:val="003C6884"/>
    <w:rsid w:val="003D3AAC"/>
    <w:rsid w:val="003D54B0"/>
    <w:rsid w:val="003D739D"/>
    <w:rsid w:val="003E1304"/>
    <w:rsid w:val="003F093B"/>
    <w:rsid w:val="003F5A57"/>
    <w:rsid w:val="00403B73"/>
    <w:rsid w:val="004061CE"/>
    <w:rsid w:val="004252ED"/>
    <w:rsid w:val="004256E7"/>
    <w:rsid w:val="004312C5"/>
    <w:rsid w:val="00432771"/>
    <w:rsid w:val="00433A34"/>
    <w:rsid w:val="00436055"/>
    <w:rsid w:val="004435A8"/>
    <w:rsid w:val="00451F95"/>
    <w:rsid w:val="00452637"/>
    <w:rsid w:val="00454075"/>
    <w:rsid w:val="00461947"/>
    <w:rsid w:val="00463649"/>
    <w:rsid w:val="00475338"/>
    <w:rsid w:val="00485944"/>
    <w:rsid w:val="00490873"/>
    <w:rsid w:val="0049246A"/>
    <w:rsid w:val="00492A94"/>
    <w:rsid w:val="004A1783"/>
    <w:rsid w:val="004A39FC"/>
    <w:rsid w:val="004A73D7"/>
    <w:rsid w:val="004B4037"/>
    <w:rsid w:val="004B6258"/>
    <w:rsid w:val="004B6BFF"/>
    <w:rsid w:val="004B7F59"/>
    <w:rsid w:val="004C4080"/>
    <w:rsid w:val="004C7025"/>
    <w:rsid w:val="004D0E6A"/>
    <w:rsid w:val="004D189E"/>
    <w:rsid w:val="004D1BF9"/>
    <w:rsid w:val="004D3189"/>
    <w:rsid w:val="004D7BF4"/>
    <w:rsid w:val="004E274C"/>
    <w:rsid w:val="004E765A"/>
    <w:rsid w:val="004F1B69"/>
    <w:rsid w:val="004F29EE"/>
    <w:rsid w:val="004F6B1E"/>
    <w:rsid w:val="004F7EF4"/>
    <w:rsid w:val="005078AA"/>
    <w:rsid w:val="00513CFA"/>
    <w:rsid w:val="005165CC"/>
    <w:rsid w:val="0051678B"/>
    <w:rsid w:val="00517338"/>
    <w:rsid w:val="0052213C"/>
    <w:rsid w:val="00522AD2"/>
    <w:rsid w:val="00527288"/>
    <w:rsid w:val="00534FE1"/>
    <w:rsid w:val="00535AC9"/>
    <w:rsid w:val="00537E4E"/>
    <w:rsid w:val="005431BE"/>
    <w:rsid w:val="005456DE"/>
    <w:rsid w:val="0055344E"/>
    <w:rsid w:val="00556710"/>
    <w:rsid w:val="00560923"/>
    <w:rsid w:val="00562D29"/>
    <w:rsid w:val="0056478C"/>
    <w:rsid w:val="005649AC"/>
    <w:rsid w:val="00566BBA"/>
    <w:rsid w:val="00570361"/>
    <w:rsid w:val="00572C89"/>
    <w:rsid w:val="005801F5"/>
    <w:rsid w:val="00591395"/>
    <w:rsid w:val="005A23A7"/>
    <w:rsid w:val="005A2546"/>
    <w:rsid w:val="005A2874"/>
    <w:rsid w:val="005A453E"/>
    <w:rsid w:val="005A48F6"/>
    <w:rsid w:val="005A747C"/>
    <w:rsid w:val="005B02E0"/>
    <w:rsid w:val="005B49D3"/>
    <w:rsid w:val="005B77D8"/>
    <w:rsid w:val="005C3112"/>
    <w:rsid w:val="005C5008"/>
    <w:rsid w:val="005C6C86"/>
    <w:rsid w:val="005C7471"/>
    <w:rsid w:val="005C78D8"/>
    <w:rsid w:val="005D0138"/>
    <w:rsid w:val="005F49C9"/>
    <w:rsid w:val="006054C1"/>
    <w:rsid w:val="006134F5"/>
    <w:rsid w:val="006176DF"/>
    <w:rsid w:val="00620349"/>
    <w:rsid w:val="00620EBC"/>
    <w:rsid w:val="00637807"/>
    <w:rsid w:val="00642AD1"/>
    <w:rsid w:val="006430B5"/>
    <w:rsid w:val="00644BE6"/>
    <w:rsid w:val="0065387A"/>
    <w:rsid w:val="006559D7"/>
    <w:rsid w:val="00660E7D"/>
    <w:rsid w:val="00670154"/>
    <w:rsid w:val="00670AA6"/>
    <w:rsid w:val="00671A46"/>
    <w:rsid w:val="00673796"/>
    <w:rsid w:val="00675D14"/>
    <w:rsid w:val="00676FCD"/>
    <w:rsid w:val="006808E1"/>
    <w:rsid w:val="006835C0"/>
    <w:rsid w:val="006879C5"/>
    <w:rsid w:val="0069324F"/>
    <w:rsid w:val="0069785A"/>
    <w:rsid w:val="006A2FC5"/>
    <w:rsid w:val="006A316F"/>
    <w:rsid w:val="006B178A"/>
    <w:rsid w:val="006B2262"/>
    <w:rsid w:val="006B3536"/>
    <w:rsid w:val="006B4687"/>
    <w:rsid w:val="006B5C68"/>
    <w:rsid w:val="006C5B99"/>
    <w:rsid w:val="006C6B90"/>
    <w:rsid w:val="006D61ED"/>
    <w:rsid w:val="006E00BF"/>
    <w:rsid w:val="006E398F"/>
    <w:rsid w:val="006E3A5A"/>
    <w:rsid w:val="006E3BF8"/>
    <w:rsid w:val="006E3D4D"/>
    <w:rsid w:val="006E6C6C"/>
    <w:rsid w:val="006E7846"/>
    <w:rsid w:val="006F2BCA"/>
    <w:rsid w:val="006F7081"/>
    <w:rsid w:val="00700680"/>
    <w:rsid w:val="00702A4B"/>
    <w:rsid w:val="0070688F"/>
    <w:rsid w:val="0071221C"/>
    <w:rsid w:val="00712E7F"/>
    <w:rsid w:val="0071453B"/>
    <w:rsid w:val="00720031"/>
    <w:rsid w:val="00720F8D"/>
    <w:rsid w:val="00723013"/>
    <w:rsid w:val="00731FD7"/>
    <w:rsid w:val="007339A4"/>
    <w:rsid w:val="00737468"/>
    <w:rsid w:val="007424CD"/>
    <w:rsid w:val="00745274"/>
    <w:rsid w:val="00750F88"/>
    <w:rsid w:val="00751F5C"/>
    <w:rsid w:val="00754155"/>
    <w:rsid w:val="00775248"/>
    <w:rsid w:val="007770F4"/>
    <w:rsid w:val="00777C95"/>
    <w:rsid w:val="00781998"/>
    <w:rsid w:val="0078341E"/>
    <w:rsid w:val="0078445B"/>
    <w:rsid w:val="00785C26"/>
    <w:rsid w:val="00790B56"/>
    <w:rsid w:val="00791E35"/>
    <w:rsid w:val="00795AFD"/>
    <w:rsid w:val="00796C4F"/>
    <w:rsid w:val="007A32E8"/>
    <w:rsid w:val="007C43E8"/>
    <w:rsid w:val="007C7370"/>
    <w:rsid w:val="007D3119"/>
    <w:rsid w:val="007D5AED"/>
    <w:rsid w:val="007E43D0"/>
    <w:rsid w:val="007E5DF0"/>
    <w:rsid w:val="007F0DC3"/>
    <w:rsid w:val="007F3B2A"/>
    <w:rsid w:val="007F5DCE"/>
    <w:rsid w:val="007F60F9"/>
    <w:rsid w:val="0080067E"/>
    <w:rsid w:val="00802BE0"/>
    <w:rsid w:val="00813D2B"/>
    <w:rsid w:val="00813EAC"/>
    <w:rsid w:val="00816584"/>
    <w:rsid w:val="0082466D"/>
    <w:rsid w:val="008354E4"/>
    <w:rsid w:val="008464A1"/>
    <w:rsid w:val="00846D5F"/>
    <w:rsid w:val="00854311"/>
    <w:rsid w:val="008621CE"/>
    <w:rsid w:val="00872348"/>
    <w:rsid w:val="008751CA"/>
    <w:rsid w:val="0088294B"/>
    <w:rsid w:val="00885DD4"/>
    <w:rsid w:val="008946E7"/>
    <w:rsid w:val="008972A5"/>
    <w:rsid w:val="008A1E74"/>
    <w:rsid w:val="008A4E35"/>
    <w:rsid w:val="008B4735"/>
    <w:rsid w:val="008B6438"/>
    <w:rsid w:val="008C365F"/>
    <w:rsid w:val="008C3E26"/>
    <w:rsid w:val="008C62B3"/>
    <w:rsid w:val="008D0AC6"/>
    <w:rsid w:val="008D0FAA"/>
    <w:rsid w:val="008D1442"/>
    <w:rsid w:val="008D239B"/>
    <w:rsid w:val="008D4DBE"/>
    <w:rsid w:val="008D5BAB"/>
    <w:rsid w:val="008D6C39"/>
    <w:rsid w:val="008D7703"/>
    <w:rsid w:val="008E27E0"/>
    <w:rsid w:val="008E45E9"/>
    <w:rsid w:val="008E6CA2"/>
    <w:rsid w:val="008E7AAA"/>
    <w:rsid w:val="008F528D"/>
    <w:rsid w:val="008F59B0"/>
    <w:rsid w:val="00907562"/>
    <w:rsid w:val="0091065D"/>
    <w:rsid w:val="00916F5D"/>
    <w:rsid w:val="009177F7"/>
    <w:rsid w:val="0092088E"/>
    <w:rsid w:val="00922A63"/>
    <w:rsid w:val="009239F4"/>
    <w:rsid w:val="00924922"/>
    <w:rsid w:val="009251D1"/>
    <w:rsid w:val="00927566"/>
    <w:rsid w:val="00936315"/>
    <w:rsid w:val="00937198"/>
    <w:rsid w:val="00942A88"/>
    <w:rsid w:val="00942D22"/>
    <w:rsid w:val="009433AE"/>
    <w:rsid w:val="0094534C"/>
    <w:rsid w:val="0094696B"/>
    <w:rsid w:val="009474C4"/>
    <w:rsid w:val="0095264E"/>
    <w:rsid w:val="00956FE9"/>
    <w:rsid w:val="00957620"/>
    <w:rsid w:val="00973254"/>
    <w:rsid w:val="00974F1D"/>
    <w:rsid w:val="00980FCD"/>
    <w:rsid w:val="0098461C"/>
    <w:rsid w:val="00985E2C"/>
    <w:rsid w:val="00990878"/>
    <w:rsid w:val="00997BFA"/>
    <w:rsid w:val="009A5434"/>
    <w:rsid w:val="009A7120"/>
    <w:rsid w:val="009B10CC"/>
    <w:rsid w:val="009B43E5"/>
    <w:rsid w:val="009C00E9"/>
    <w:rsid w:val="009C3AEC"/>
    <w:rsid w:val="009C3D3D"/>
    <w:rsid w:val="009D46EE"/>
    <w:rsid w:val="009D56DE"/>
    <w:rsid w:val="009D5AA0"/>
    <w:rsid w:val="009E5842"/>
    <w:rsid w:val="009E763A"/>
    <w:rsid w:val="009F2353"/>
    <w:rsid w:val="009F3549"/>
    <w:rsid w:val="009F4E40"/>
    <w:rsid w:val="009F7492"/>
    <w:rsid w:val="009F7C52"/>
    <w:rsid w:val="00A00250"/>
    <w:rsid w:val="00A01412"/>
    <w:rsid w:val="00A0168F"/>
    <w:rsid w:val="00A04791"/>
    <w:rsid w:val="00A1125E"/>
    <w:rsid w:val="00A13641"/>
    <w:rsid w:val="00A165DF"/>
    <w:rsid w:val="00A17CF6"/>
    <w:rsid w:val="00A20990"/>
    <w:rsid w:val="00A229C9"/>
    <w:rsid w:val="00A27AB4"/>
    <w:rsid w:val="00A34F41"/>
    <w:rsid w:val="00A35D55"/>
    <w:rsid w:val="00A35E28"/>
    <w:rsid w:val="00A4193C"/>
    <w:rsid w:val="00A43DB0"/>
    <w:rsid w:val="00A44A48"/>
    <w:rsid w:val="00A549A1"/>
    <w:rsid w:val="00A573FD"/>
    <w:rsid w:val="00A57ABA"/>
    <w:rsid w:val="00A610E8"/>
    <w:rsid w:val="00A61525"/>
    <w:rsid w:val="00A66B41"/>
    <w:rsid w:val="00A67EAD"/>
    <w:rsid w:val="00A7164E"/>
    <w:rsid w:val="00A76084"/>
    <w:rsid w:val="00A807EC"/>
    <w:rsid w:val="00A80E16"/>
    <w:rsid w:val="00A811B1"/>
    <w:rsid w:val="00A831E4"/>
    <w:rsid w:val="00A9011B"/>
    <w:rsid w:val="00A975BF"/>
    <w:rsid w:val="00A97921"/>
    <w:rsid w:val="00AA06AC"/>
    <w:rsid w:val="00AA539F"/>
    <w:rsid w:val="00AA7439"/>
    <w:rsid w:val="00AB153A"/>
    <w:rsid w:val="00AB1AA4"/>
    <w:rsid w:val="00AB443D"/>
    <w:rsid w:val="00AB595B"/>
    <w:rsid w:val="00AB6B53"/>
    <w:rsid w:val="00AC0C6B"/>
    <w:rsid w:val="00AC552F"/>
    <w:rsid w:val="00AC5567"/>
    <w:rsid w:val="00AD19B0"/>
    <w:rsid w:val="00AD1F60"/>
    <w:rsid w:val="00AD412F"/>
    <w:rsid w:val="00AD662D"/>
    <w:rsid w:val="00AE3A2D"/>
    <w:rsid w:val="00AE68AF"/>
    <w:rsid w:val="00AE798D"/>
    <w:rsid w:val="00AF2A2A"/>
    <w:rsid w:val="00AF57B2"/>
    <w:rsid w:val="00B10BA8"/>
    <w:rsid w:val="00B10C38"/>
    <w:rsid w:val="00B11CC8"/>
    <w:rsid w:val="00B1245E"/>
    <w:rsid w:val="00B151DF"/>
    <w:rsid w:val="00B31AC3"/>
    <w:rsid w:val="00B336CF"/>
    <w:rsid w:val="00B370AB"/>
    <w:rsid w:val="00B42A40"/>
    <w:rsid w:val="00B5008E"/>
    <w:rsid w:val="00B60CE9"/>
    <w:rsid w:val="00B60E1E"/>
    <w:rsid w:val="00B714A7"/>
    <w:rsid w:val="00B72BA9"/>
    <w:rsid w:val="00B80D41"/>
    <w:rsid w:val="00B83221"/>
    <w:rsid w:val="00B85541"/>
    <w:rsid w:val="00B9201B"/>
    <w:rsid w:val="00B92D0F"/>
    <w:rsid w:val="00B94ED0"/>
    <w:rsid w:val="00B95184"/>
    <w:rsid w:val="00B9780D"/>
    <w:rsid w:val="00B97DCA"/>
    <w:rsid w:val="00BA25C8"/>
    <w:rsid w:val="00BA6E9A"/>
    <w:rsid w:val="00BB2294"/>
    <w:rsid w:val="00BB2755"/>
    <w:rsid w:val="00BB59A8"/>
    <w:rsid w:val="00BB62A7"/>
    <w:rsid w:val="00BC2990"/>
    <w:rsid w:val="00BC3ABE"/>
    <w:rsid w:val="00BC3C8A"/>
    <w:rsid w:val="00BC4615"/>
    <w:rsid w:val="00BD090F"/>
    <w:rsid w:val="00BD0EDE"/>
    <w:rsid w:val="00BD0F85"/>
    <w:rsid w:val="00BF391C"/>
    <w:rsid w:val="00BF5013"/>
    <w:rsid w:val="00C007F6"/>
    <w:rsid w:val="00C012AF"/>
    <w:rsid w:val="00C01AE7"/>
    <w:rsid w:val="00C03C76"/>
    <w:rsid w:val="00C04AD3"/>
    <w:rsid w:val="00C05BC4"/>
    <w:rsid w:val="00C113D1"/>
    <w:rsid w:val="00C115B5"/>
    <w:rsid w:val="00C151F4"/>
    <w:rsid w:val="00C15542"/>
    <w:rsid w:val="00C222DC"/>
    <w:rsid w:val="00C26299"/>
    <w:rsid w:val="00C262BF"/>
    <w:rsid w:val="00C305CE"/>
    <w:rsid w:val="00C31EFF"/>
    <w:rsid w:val="00C334B5"/>
    <w:rsid w:val="00C34808"/>
    <w:rsid w:val="00C36972"/>
    <w:rsid w:val="00C36E51"/>
    <w:rsid w:val="00C446F0"/>
    <w:rsid w:val="00C519A2"/>
    <w:rsid w:val="00C671F5"/>
    <w:rsid w:val="00C74DCB"/>
    <w:rsid w:val="00C84F0F"/>
    <w:rsid w:val="00C85BD4"/>
    <w:rsid w:val="00CA132F"/>
    <w:rsid w:val="00CA4369"/>
    <w:rsid w:val="00CB352A"/>
    <w:rsid w:val="00CB5FD1"/>
    <w:rsid w:val="00CC125A"/>
    <w:rsid w:val="00CC2BBC"/>
    <w:rsid w:val="00CD2AD4"/>
    <w:rsid w:val="00CD62AD"/>
    <w:rsid w:val="00CD63AA"/>
    <w:rsid w:val="00CD7D46"/>
    <w:rsid w:val="00CE053C"/>
    <w:rsid w:val="00CE4DFC"/>
    <w:rsid w:val="00CE6996"/>
    <w:rsid w:val="00CF1FD9"/>
    <w:rsid w:val="00CF215E"/>
    <w:rsid w:val="00CF3DAE"/>
    <w:rsid w:val="00CF466C"/>
    <w:rsid w:val="00D03631"/>
    <w:rsid w:val="00D06A76"/>
    <w:rsid w:val="00D077FE"/>
    <w:rsid w:val="00D11909"/>
    <w:rsid w:val="00D145FC"/>
    <w:rsid w:val="00D15DF6"/>
    <w:rsid w:val="00D161EC"/>
    <w:rsid w:val="00D1637E"/>
    <w:rsid w:val="00D21857"/>
    <w:rsid w:val="00D33C16"/>
    <w:rsid w:val="00D35C7D"/>
    <w:rsid w:val="00D414E3"/>
    <w:rsid w:val="00D42E92"/>
    <w:rsid w:val="00D43FA4"/>
    <w:rsid w:val="00D47E63"/>
    <w:rsid w:val="00D5007B"/>
    <w:rsid w:val="00D55993"/>
    <w:rsid w:val="00D57EEB"/>
    <w:rsid w:val="00D60EAF"/>
    <w:rsid w:val="00D6215B"/>
    <w:rsid w:val="00D62B58"/>
    <w:rsid w:val="00D72197"/>
    <w:rsid w:val="00D7469F"/>
    <w:rsid w:val="00D74B24"/>
    <w:rsid w:val="00D7637F"/>
    <w:rsid w:val="00D838BC"/>
    <w:rsid w:val="00D8442D"/>
    <w:rsid w:val="00D86D30"/>
    <w:rsid w:val="00D93962"/>
    <w:rsid w:val="00D95541"/>
    <w:rsid w:val="00D967B4"/>
    <w:rsid w:val="00D974F1"/>
    <w:rsid w:val="00D97DAB"/>
    <w:rsid w:val="00DA2E74"/>
    <w:rsid w:val="00DA5EA4"/>
    <w:rsid w:val="00DB0E05"/>
    <w:rsid w:val="00DB4339"/>
    <w:rsid w:val="00DC0519"/>
    <w:rsid w:val="00DC5299"/>
    <w:rsid w:val="00DC6866"/>
    <w:rsid w:val="00DC73BE"/>
    <w:rsid w:val="00DC7B0E"/>
    <w:rsid w:val="00DD5E85"/>
    <w:rsid w:val="00DD6A17"/>
    <w:rsid w:val="00DE6BCC"/>
    <w:rsid w:val="00DF0B48"/>
    <w:rsid w:val="00DF3B90"/>
    <w:rsid w:val="00DF4BAB"/>
    <w:rsid w:val="00E032F7"/>
    <w:rsid w:val="00E03C11"/>
    <w:rsid w:val="00E12505"/>
    <w:rsid w:val="00E12A1D"/>
    <w:rsid w:val="00E154FA"/>
    <w:rsid w:val="00E16417"/>
    <w:rsid w:val="00E17379"/>
    <w:rsid w:val="00E24168"/>
    <w:rsid w:val="00E260FD"/>
    <w:rsid w:val="00E2754B"/>
    <w:rsid w:val="00E27783"/>
    <w:rsid w:val="00E27ADA"/>
    <w:rsid w:val="00E34DB3"/>
    <w:rsid w:val="00E47D48"/>
    <w:rsid w:val="00E54DFE"/>
    <w:rsid w:val="00E5685D"/>
    <w:rsid w:val="00E61D23"/>
    <w:rsid w:val="00E65948"/>
    <w:rsid w:val="00E70A0A"/>
    <w:rsid w:val="00E72958"/>
    <w:rsid w:val="00E76104"/>
    <w:rsid w:val="00E84A5B"/>
    <w:rsid w:val="00E908F9"/>
    <w:rsid w:val="00E913CC"/>
    <w:rsid w:val="00E9269C"/>
    <w:rsid w:val="00E955D5"/>
    <w:rsid w:val="00E959F5"/>
    <w:rsid w:val="00EA3D31"/>
    <w:rsid w:val="00EA48C1"/>
    <w:rsid w:val="00EA59FB"/>
    <w:rsid w:val="00EB1051"/>
    <w:rsid w:val="00EB3E90"/>
    <w:rsid w:val="00EB5C63"/>
    <w:rsid w:val="00EB645C"/>
    <w:rsid w:val="00EC3B40"/>
    <w:rsid w:val="00ED3655"/>
    <w:rsid w:val="00EE14AB"/>
    <w:rsid w:val="00EE3415"/>
    <w:rsid w:val="00EE5462"/>
    <w:rsid w:val="00EF0FE4"/>
    <w:rsid w:val="00EF101C"/>
    <w:rsid w:val="00EF194A"/>
    <w:rsid w:val="00EF4569"/>
    <w:rsid w:val="00F004C9"/>
    <w:rsid w:val="00F053AD"/>
    <w:rsid w:val="00F05E06"/>
    <w:rsid w:val="00F07B59"/>
    <w:rsid w:val="00F10922"/>
    <w:rsid w:val="00F12A89"/>
    <w:rsid w:val="00F2380B"/>
    <w:rsid w:val="00F23A83"/>
    <w:rsid w:val="00F24608"/>
    <w:rsid w:val="00F276FA"/>
    <w:rsid w:val="00F305B8"/>
    <w:rsid w:val="00F3113F"/>
    <w:rsid w:val="00F54620"/>
    <w:rsid w:val="00F55AF8"/>
    <w:rsid w:val="00F617E3"/>
    <w:rsid w:val="00F67381"/>
    <w:rsid w:val="00F7257B"/>
    <w:rsid w:val="00F82825"/>
    <w:rsid w:val="00F86A3E"/>
    <w:rsid w:val="00F9305E"/>
    <w:rsid w:val="00F943E7"/>
    <w:rsid w:val="00F946F0"/>
    <w:rsid w:val="00F960F9"/>
    <w:rsid w:val="00F978D8"/>
    <w:rsid w:val="00FA6B3C"/>
    <w:rsid w:val="00FA700D"/>
    <w:rsid w:val="00FB2957"/>
    <w:rsid w:val="00FB3CBD"/>
    <w:rsid w:val="00FB5096"/>
    <w:rsid w:val="00FB7795"/>
    <w:rsid w:val="00FC1F21"/>
    <w:rsid w:val="00FC4109"/>
    <w:rsid w:val="00FC5D4C"/>
    <w:rsid w:val="00FC79AA"/>
    <w:rsid w:val="00FD2E31"/>
    <w:rsid w:val="00FD62DA"/>
    <w:rsid w:val="00FD7054"/>
    <w:rsid w:val="00FE4EA9"/>
    <w:rsid w:val="00FF00FC"/>
    <w:rsid w:val="00FF1113"/>
    <w:rsid w:val="00FF1B67"/>
    <w:rsid w:val="00FF2F94"/>
    <w:rsid w:val="00FF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  <o:rules v:ext="edit">
        <o:r id="V:Rule9" type="connector" idref="#_x0000_s2076"/>
        <o:r id="V:Rule10" type="connector" idref="#_x0000_s2065"/>
        <o:r id="V:Rule11" type="connector" idref="#_x0000_s2075"/>
        <o:r id="V:Rule12" type="connector" idref="#_x0000_s2072"/>
        <o:r id="V:Rule13" type="connector" idref="#_x0000_s2071"/>
        <o:r id="V:Rule14" type="connector" idref="#_x0000_s2074"/>
        <o:r id="V:Rule15" type="connector" idref="#_x0000_s2073"/>
        <o:r id="V:Rule16" type="connector" idref="#_x0000_s2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C8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B3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25C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A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25C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5C8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A7164E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7164E"/>
    <w:pPr>
      <w:tabs>
        <w:tab w:val="decimal" w:pos="360"/>
      </w:tabs>
    </w:pPr>
    <w:rPr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A7164E"/>
    <w:pPr>
      <w:spacing w:after="0" w:line="240" w:lineRule="auto"/>
    </w:pPr>
    <w:rPr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7164E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7164E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7164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0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03631"/>
    <w:rPr>
      <w:rFonts w:ascii="Tahoma" w:eastAsiaTheme="minorEastAsia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5FC"/>
    <w:rPr>
      <w:rFonts w:ascii="Tahoma" w:eastAsiaTheme="minorEastAsia" w:hAnsi="Tahoma" w:cs="Tahoma"/>
      <w:sz w:val="16"/>
      <w:szCs w:val="16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A59F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A59F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B3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494C-CB16-4FC5-8D9D-66050E52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HASSAN</dc:creator>
  <cp:lastModifiedBy>Utilisateur Windows</cp:lastModifiedBy>
  <cp:revision>180</cp:revision>
  <cp:lastPrinted>2022-05-27T11:40:00Z</cp:lastPrinted>
  <dcterms:created xsi:type="dcterms:W3CDTF">2022-10-22T13:07:00Z</dcterms:created>
  <dcterms:modified xsi:type="dcterms:W3CDTF">2022-12-13T19:18:00Z</dcterms:modified>
</cp:coreProperties>
</file>