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0A" w:rsidRDefault="00B6476A" w:rsidP="00F6110A">
      <w:pPr>
        <w:jc w:val="center"/>
        <w:rPr>
          <w:rFonts w:asciiTheme="majorBidi" w:hAnsiTheme="majorBidi" w:cstheme="majorBidi"/>
          <w:sz w:val="24"/>
          <w:szCs w:val="24"/>
          <w:lang w:eastAsia="fr-FR"/>
        </w:rPr>
      </w:pPr>
      <w:r w:rsidRPr="00C600DC">
        <w:rPr>
          <w:rFonts w:asciiTheme="majorBidi" w:eastAsia="Times New Roman" w:hAnsiTheme="majorBidi" w:cstheme="majorBidi"/>
          <w:b/>
          <w:bCs/>
          <w:sz w:val="24"/>
          <w:szCs w:val="24"/>
          <w:highlight w:val="yellow"/>
          <w:lang w:eastAsia="fr-FR"/>
        </w:rPr>
        <w:t>LA CHROMATOGRAPHIE SUR PAPIER</w:t>
      </w:r>
      <w:r w:rsidR="00446863" w:rsidRPr="00FD1E88">
        <w:rPr>
          <w:rFonts w:asciiTheme="majorBidi" w:hAnsiTheme="majorBidi" w:cstheme="majorBidi"/>
          <w:sz w:val="24"/>
          <w:szCs w:val="24"/>
          <w:lang w:eastAsia="fr-FR"/>
        </w:rPr>
        <w:br/>
      </w:r>
    </w:p>
    <w:p w:rsidR="00F6110A" w:rsidRPr="00F6110A" w:rsidRDefault="00446863" w:rsidP="00F6110A">
      <w:pPr>
        <w:spacing w:line="360" w:lineRule="auto"/>
        <w:jc w:val="both"/>
        <w:rPr>
          <w:rFonts w:asciiTheme="majorBidi" w:eastAsia="Times New Roman" w:hAnsiTheme="majorBidi" w:cstheme="majorBidi"/>
          <w:b/>
          <w:bCs/>
          <w:sz w:val="24"/>
          <w:szCs w:val="24"/>
          <w:lang w:eastAsia="fr-FR"/>
        </w:rPr>
      </w:pPr>
      <w:r w:rsidRPr="00F6110A">
        <w:rPr>
          <w:rFonts w:asciiTheme="majorBidi" w:hAnsiTheme="majorBidi" w:cstheme="majorBidi"/>
          <w:sz w:val="24"/>
          <w:szCs w:val="24"/>
          <w:lang w:eastAsia="fr-FR"/>
        </w:rPr>
        <w:t xml:space="preserve">La chromatographie sur papier appartient aux chromatographies de partages. Elle est apparue vers 1944. La séparation des composés d'un mélange est due aux différences de </w:t>
      </w:r>
      <w:r w:rsidRPr="00F6110A">
        <w:rPr>
          <w:rFonts w:asciiTheme="majorBidi" w:hAnsiTheme="majorBidi" w:cstheme="majorBidi"/>
          <w:b/>
          <w:bCs/>
          <w:sz w:val="24"/>
          <w:szCs w:val="24"/>
          <w:lang w:eastAsia="fr-FR"/>
        </w:rPr>
        <w:t>solubilité</w:t>
      </w:r>
      <w:r w:rsidRPr="00F6110A">
        <w:rPr>
          <w:rFonts w:asciiTheme="majorBidi" w:hAnsiTheme="majorBidi" w:cstheme="majorBidi"/>
          <w:sz w:val="24"/>
          <w:szCs w:val="24"/>
          <w:lang w:eastAsia="fr-FR"/>
        </w:rPr>
        <w:t xml:space="preserve">. Tout dépend du </w:t>
      </w:r>
      <w:r w:rsidRPr="00F6110A">
        <w:rPr>
          <w:rFonts w:asciiTheme="majorBidi" w:hAnsiTheme="majorBidi" w:cstheme="majorBidi"/>
          <w:b/>
          <w:bCs/>
          <w:sz w:val="24"/>
          <w:szCs w:val="24"/>
          <w:lang w:eastAsia="fr-FR"/>
        </w:rPr>
        <w:t>coefficient de partage</w:t>
      </w:r>
      <w:r w:rsidR="000116FF" w:rsidRPr="00F6110A">
        <w:rPr>
          <w:rFonts w:asciiTheme="majorBidi" w:hAnsiTheme="majorBidi" w:cstheme="majorBidi"/>
          <w:sz w:val="24"/>
          <w:szCs w:val="24"/>
          <w:lang w:eastAsia="fr-FR"/>
        </w:rPr>
        <w:t xml:space="preserve"> des composés dans deux</w:t>
      </w:r>
      <w:r w:rsidRPr="00F6110A">
        <w:rPr>
          <w:rFonts w:asciiTheme="majorBidi" w:hAnsiTheme="majorBidi" w:cstheme="majorBidi"/>
          <w:sz w:val="24"/>
          <w:szCs w:val="24"/>
          <w:lang w:eastAsia="fr-FR"/>
        </w:rPr>
        <w:t xml:space="preserve"> solvants, c'est à dire de leur affinité pour les solvants dont l'un constitue la </w:t>
      </w:r>
      <w:r w:rsidRPr="00F6110A">
        <w:rPr>
          <w:rFonts w:asciiTheme="majorBidi" w:hAnsiTheme="majorBidi" w:cstheme="majorBidi"/>
          <w:b/>
          <w:bCs/>
          <w:sz w:val="24"/>
          <w:szCs w:val="24"/>
          <w:lang w:eastAsia="fr-FR"/>
        </w:rPr>
        <w:t>phase stationnaire</w:t>
      </w:r>
      <w:r w:rsidRPr="00F6110A">
        <w:rPr>
          <w:rFonts w:asciiTheme="majorBidi" w:hAnsiTheme="majorBidi" w:cstheme="majorBidi"/>
          <w:sz w:val="24"/>
          <w:szCs w:val="24"/>
          <w:lang w:eastAsia="fr-FR"/>
        </w:rPr>
        <w:t xml:space="preserve"> et l'autre la </w:t>
      </w:r>
      <w:r w:rsidRPr="00F6110A">
        <w:rPr>
          <w:rFonts w:asciiTheme="majorBidi" w:hAnsiTheme="majorBidi" w:cstheme="majorBidi"/>
          <w:b/>
          <w:bCs/>
          <w:sz w:val="24"/>
          <w:szCs w:val="24"/>
          <w:lang w:eastAsia="fr-FR"/>
        </w:rPr>
        <w:t>phase mobile</w:t>
      </w:r>
      <w:r w:rsidRPr="00F6110A">
        <w:rPr>
          <w:rFonts w:asciiTheme="majorBidi" w:hAnsiTheme="majorBidi" w:cstheme="majorBidi"/>
          <w:sz w:val="24"/>
          <w:szCs w:val="24"/>
          <w:lang w:eastAsia="fr-FR"/>
        </w:rPr>
        <w:t xml:space="preserve">. La phase stationnaire est retenue sur un support solide (papier). </w:t>
      </w:r>
      <w:r w:rsidR="00F6110A" w:rsidRPr="00F6110A">
        <w:rPr>
          <w:rFonts w:asciiTheme="majorBidi" w:hAnsiTheme="majorBidi" w:cstheme="majorBidi"/>
          <w:sz w:val="24"/>
          <w:szCs w:val="24"/>
        </w:rPr>
        <w:t>Comme en chromatographie sur couche mince, l'échantillon, mis en solution, est déposé en un point repère du papier et le solvant qui se déplace par capillarité fait migrer les composants de l'échantillon à des vitesses variables selon leur solubilité. Généralement, les composés les plus solubles dans l'eau ou ceux qui forment facilement des associations par liaisons hydrogène sont fortement retenus par la phase stationnaire et migrent donc lentement.</w:t>
      </w:r>
      <w:r w:rsidR="00F6110A" w:rsidRPr="00F6110A">
        <w:rPr>
          <w:rFonts w:asciiTheme="majorBidi" w:hAnsiTheme="majorBidi" w:cstheme="majorBidi"/>
          <w:sz w:val="24"/>
          <w:szCs w:val="24"/>
          <w:lang w:eastAsia="fr-FR"/>
        </w:rPr>
        <w:t xml:space="preserve"> Ceux qui sont soluble dans la phase organique migrent relativement plus vite.</w:t>
      </w:r>
    </w:p>
    <w:p w:rsidR="00446863" w:rsidRPr="00F6110A" w:rsidRDefault="00446863" w:rsidP="00F6110A">
      <w:pPr>
        <w:spacing w:before="100" w:beforeAutospacing="1" w:after="100" w:afterAutospacing="1" w:line="360" w:lineRule="auto"/>
        <w:jc w:val="both"/>
        <w:rPr>
          <w:rFonts w:asciiTheme="majorBidi" w:hAnsiTheme="majorBidi" w:cstheme="majorBidi"/>
          <w:sz w:val="24"/>
          <w:szCs w:val="24"/>
          <w:lang w:eastAsia="fr-FR"/>
        </w:rPr>
      </w:pPr>
      <w:r w:rsidRPr="00F6110A">
        <w:rPr>
          <w:rFonts w:asciiTheme="majorBidi" w:hAnsiTheme="majorBidi" w:cstheme="majorBidi"/>
          <w:sz w:val="24"/>
          <w:szCs w:val="24"/>
          <w:lang w:eastAsia="fr-FR"/>
        </w:rPr>
        <w:t xml:space="preserve">Le </w:t>
      </w:r>
      <w:r w:rsidRPr="00F6110A">
        <w:rPr>
          <w:rFonts w:asciiTheme="majorBidi" w:hAnsiTheme="majorBidi" w:cstheme="majorBidi"/>
          <w:b/>
          <w:bCs/>
          <w:sz w:val="24"/>
          <w:szCs w:val="24"/>
          <w:u w:val="single"/>
          <w:lang w:eastAsia="fr-FR"/>
        </w:rPr>
        <w:t>coefficient de partage</w:t>
      </w:r>
      <w:r w:rsidRPr="00F6110A">
        <w:rPr>
          <w:rFonts w:asciiTheme="majorBidi" w:hAnsiTheme="majorBidi" w:cstheme="majorBidi"/>
          <w:sz w:val="24"/>
          <w:szCs w:val="24"/>
          <w:lang w:eastAsia="fr-FR"/>
        </w:rPr>
        <w:t xml:space="preserve"> (K) d'un composé entre les 2 phases correspond à:</w:t>
      </w:r>
    </w:p>
    <w:p w:rsidR="00FD1E88" w:rsidRPr="00F6110A" w:rsidRDefault="00446863" w:rsidP="00F6110A">
      <w:pPr>
        <w:spacing w:before="100" w:beforeAutospacing="1" w:after="100" w:afterAutospacing="1" w:line="360" w:lineRule="auto"/>
        <w:jc w:val="both"/>
        <w:rPr>
          <w:rFonts w:asciiTheme="majorBidi" w:hAnsiTheme="majorBidi" w:cstheme="majorBidi"/>
          <w:sz w:val="24"/>
          <w:szCs w:val="24"/>
          <w:lang w:eastAsia="fr-FR"/>
        </w:rPr>
      </w:pPr>
      <w:r w:rsidRPr="00F6110A">
        <w:rPr>
          <w:rFonts w:asciiTheme="majorBidi" w:hAnsiTheme="majorBidi" w:cstheme="majorBidi"/>
          <w:sz w:val="24"/>
          <w:szCs w:val="24"/>
          <w:lang w:eastAsia="fr-FR"/>
        </w:rPr>
        <w:t>K = (concentration dans la ph. stationnaire)</w:t>
      </w:r>
      <w:r w:rsidR="00FD1E88" w:rsidRPr="00F6110A">
        <w:rPr>
          <w:rFonts w:asciiTheme="majorBidi" w:hAnsiTheme="majorBidi" w:cstheme="majorBidi"/>
          <w:sz w:val="24"/>
          <w:szCs w:val="24"/>
          <w:lang w:eastAsia="fr-FR"/>
        </w:rPr>
        <w:t xml:space="preserve"> / (</w:t>
      </w:r>
      <w:r w:rsidRPr="00F6110A">
        <w:rPr>
          <w:rFonts w:asciiTheme="majorBidi" w:hAnsiTheme="majorBidi" w:cstheme="majorBidi"/>
          <w:sz w:val="24"/>
          <w:szCs w:val="24"/>
          <w:lang w:eastAsia="fr-FR"/>
        </w:rPr>
        <w:t>concentration dans la ph. mobile).</w:t>
      </w:r>
    </w:p>
    <w:p w:rsidR="00E349EF" w:rsidRPr="00F6110A" w:rsidRDefault="00446863" w:rsidP="00F6110A">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C600DC">
        <w:rPr>
          <w:rFonts w:asciiTheme="majorBidi" w:hAnsiTheme="majorBidi" w:cstheme="majorBidi"/>
          <w:b/>
          <w:bCs/>
          <w:sz w:val="24"/>
          <w:szCs w:val="24"/>
          <w:highlight w:val="yellow"/>
        </w:rPr>
        <w:t>Principe :</w:t>
      </w:r>
    </w:p>
    <w:p w:rsidR="00446863" w:rsidRPr="00F6110A" w:rsidRDefault="00446863" w:rsidP="00F6110A">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F6110A">
        <w:rPr>
          <w:rFonts w:asciiTheme="majorBidi" w:hAnsiTheme="majorBidi" w:cstheme="majorBidi"/>
          <w:sz w:val="24"/>
          <w:szCs w:val="24"/>
        </w:rPr>
        <w:t>Elle permet d’analyser un mélange liquide et d’identifier chaque constituant par comparaison.</w:t>
      </w:r>
      <w:r w:rsidR="00E349EF" w:rsidRPr="00F6110A">
        <w:rPr>
          <w:rFonts w:asciiTheme="majorBidi" w:hAnsiTheme="majorBidi" w:cstheme="majorBidi"/>
          <w:sz w:val="24"/>
          <w:szCs w:val="24"/>
        </w:rPr>
        <w:t xml:space="preserve"> </w:t>
      </w:r>
      <w:r w:rsidRPr="00F6110A">
        <w:rPr>
          <w:rFonts w:asciiTheme="majorBidi" w:hAnsiTheme="majorBidi" w:cstheme="majorBidi"/>
          <w:sz w:val="24"/>
          <w:szCs w:val="24"/>
        </w:rPr>
        <w:t>Elle est basée sur la différence de solubilité d’un constituant par rapport à deux phases non miscibles.</w:t>
      </w:r>
    </w:p>
    <w:p w:rsidR="00446863" w:rsidRPr="00F6110A" w:rsidRDefault="00446863" w:rsidP="00F6110A">
      <w:pPr>
        <w:numPr>
          <w:ilvl w:val="0"/>
          <w:numId w:val="2"/>
        </w:numPr>
        <w:spacing w:after="0" w:line="360" w:lineRule="auto"/>
        <w:jc w:val="both"/>
        <w:rPr>
          <w:rFonts w:asciiTheme="majorBidi" w:hAnsiTheme="majorBidi" w:cstheme="majorBidi"/>
          <w:sz w:val="24"/>
          <w:szCs w:val="24"/>
        </w:rPr>
      </w:pPr>
      <w:r w:rsidRPr="00F6110A">
        <w:rPr>
          <w:rFonts w:asciiTheme="majorBidi" w:hAnsiTheme="majorBidi" w:cstheme="majorBidi"/>
          <w:sz w:val="24"/>
          <w:szCs w:val="24"/>
        </w:rPr>
        <w:t>Une phase stationnaire constituée par le papier (fibres de cellulose disposées parallèlement imbibée d’eau).</w:t>
      </w:r>
    </w:p>
    <w:p w:rsidR="00E349EF" w:rsidRPr="00F6110A" w:rsidRDefault="00446863" w:rsidP="00F6110A">
      <w:pPr>
        <w:numPr>
          <w:ilvl w:val="0"/>
          <w:numId w:val="2"/>
        </w:numPr>
        <w:spacing w:after="0" w:line="360" w:lineRule="auto"/>
        <w:jc w:val="both"/>
        <w:rPr>
          <w:rFonts w:asciiTheme="majorBidi" w:hAnsiTheme="majorBidi" w:cstheme="majorBidi"/>
          <w:sz w:val="24"/>
          <w:szCs w:val="24"/>
        </w:rPr>
      </w:pPr>
      <w:r w:rsidRPr="00F6110A">
        <w:rPr>
          <w:rFonts w:asciiTheme="majorBidi" w:hAnsiTheme="majorBidi" w:cstheme="majorBidi"/>
          <w:sz w:val="24"/>
          <w:szCs w:val="24"/>
        </w:rPr>
        <w:t xml:space="preserve">Une phase mobile appelée </w:t>
      </w:r>
      <w:r w:rsidR="00CD264A" w:rsidRPr="00F6110A">
        <w:rPr>
          <w:rFonts w:asciiTheme="majorBidi" w:hAnsiTheme="majorBidi" w:cstheme="majorBidi"/>
          <w:sz w:val="24"/>
          <w:szCs w:val="24"/>
        </w:rPr>
        <w:t>éluant</w:t>
      </w:r>
      <w:r w:rsidRPr="00F6110A">
        <w:rPr>
          <w:rFonts w:asciiTheme="majorBidi" w:hAnsiTheme="majorBidi" w:cstheme="majorBidi"/>
          <w:sz w:val="24"/>
          <w:szCs w:val="24"/>
        </w:rPr>
        <w:t xml:space="preserve"> qui se déplace par capillarité en entraînant les constituants du mélange sur la phase stationnaire.</w:t>
      </w:r>
    </w:p>
    <w:p w:rsidR="00E349EF" w:rsidRPr="00F6110A" w:rsidRDefault="00446863" w:rsidP="00F6110A">
      <w:pPr>
        <w:spacing w:before="240" w:after="0" w:line="360" w:lineRule="auto"/>
        <w:jc w:val="both"/>
        <w:rPr>
          <w:rFonts w:asciiTheme="majorBidi" w:hAnsiTheme="majorBidi" w:cstheme="majorBidi"/>
          <w:sz w:val="24"/>
          <w:szCs w:val="24"/>
        </w:rPr>
      </w:pPr>
      <w:r w:rsidRPr="00F6110A">
        <w:rPr>
          <w:rFonts w:asciiTheme="majorBidi" w:hAnsiTheme="majorBidi" w:cstheme="majorBidi"/>
          <w:b/>
          <w:bCs/>
          <w:i/>
          <w:iCs/>
          <w:sz w:val="24"/>
          <w:szCs w:val="24"/>
        </w:rPr>
        <w:t xml:space="preserve"> </w:t>
      </w:r>
      <w:r w:rsidRPr="00F6110A">
        <w:rPr>
          <w:rFonts w:asciiTheme="majorBidi" w:hAnsiTheme="majorBidi" w:cstheme="majorBidi"/>
          <w:b/>
          <w:bCs/>
          <w:sz w:val="24"/>
          <w:szCs w:val="24"/>
        </w:rPr>
        <w:t>Papier</w:t>
      </w:r>
      <w:r w:rsidR="00E349EF" w:rsidRPr="00F6110A">
        <w:rPr>
          <w:rFonts w:asciiTheme="majorBidi" w:hAnsiTheme="majorBidi" w:cstheme="majorBidi"/>
          <w:b/>
          <w:bCs/>
          <w:sz w:val="24"/>
          <w:szCs w:val="24"/>
        </w:rPr>
        <w:t> :</w:t>
      </w:r>
    </w:p>
    <w:p w:rsidR="001E416C" w:rsidRPr="00F6110A" w:rsidRDefault="001E416C" w:rsidP="00F6110A">
      <w:pPr>
        <w:spacing w:line="360" w:lineRule="auto"/>
        <w:jc w:val="both"/>
        <w:rPr>
          <w:rFonts w:asciiTheme="majorBidi" w:hAnsiTheme="majorBidi" w:cstheme="majorBidi"/>
          <w:sz w:val="24"/>
          <w:szCs w:val="24"/>
        </w:rPr>
      </w:pPr>
      <w:r w:rsidRPr="00F6110A">
        <w:rPr>
          <w:rFonts w:asciiTheme="majorBidi" w:hAnsiTheme="majorBidi" w:cstheme="majorBidi"/>
          <w:color w:val="000000"/>
          <w:sz w:val="24"/>
          <w:szCs w:val="24"/>
        </w:rPr>
        <w:t>On peut employer du papier filtre ordinaire, mais il est préférable de se procurer du papier conçu pour cet usage.</w:t>
      </w:r>
      <w:r w:rsidRPr="00F6110A">
        <w:rPr>
          <w:rFonts w:asciiTheme="majorBidi" w:hAnsiTheme="majorBidi" w:cstheme="majorBidi"/>
          <w:sz w:val="24"/>
          <w:szCs w:val="24"/>
        </w:rPr>
        <w:t xml:space="preserve"> </w:t>
      </w:r>
      <w:r w:rsidR="00446863" w:rsidRPr="00F6110A">
        <w:rPr>
          <w:rFonts w:asciiTheme="majorBidi" w:hAnsiTheme="majorBidi" w:cstheme="majorBidi"/>
          <w:sz w:val="24"/>
          <w:szCs w:val="24"/>
        </w:rPr>
        <w:t>Les marques principales sont Whatman, Schleider et Schüll, Durieux, Arches. Il existe huit</w:t>
      </w:r>
      <w:r w:rsidR="00E349EF" w:rsidRPr="00F6110A">
        <w:rPr>
          <w:rFonts w:asciiTheme="majorBidi" w:hAnsiTheme="majorBidi" w:cstheme="majorBidi"/>
          <w:sz w:val="24"/>
          <w:szCs w:val="24"/>
        </w:rPr>
        <w:t xml:space="preserve"> </w:t>
      </w:r>
      <w:r w:rsidR="00446863" w:rsidRPr="00F6110A">
        <w:rPr>
          <w:rFonts w:asciiTheme="majorBidi" w:hAnsiTheme="majorBidi" w:cstheme="majorBidi"/>
          <w:sz w:val="24"/>
          <w:szCs w:val="24"/>
        </w:rPr>
        <w:t>catégories de papier Whatman, classés selon leur épaisseur, la texture de leur surface et la</w:t>
      </w:r>
      <w:r w:rsidR="00E349EF" w:rsidRPr="00F6110A">
        <w:rPr>
          <w:rFonts w:asciiTheme="majorBidi" w:hAnsiTheme="majorBidi" w:cstheme="majorBidi"/>
          <w:sz w:val="24"/>
          <w:szCs w:val="24"/>
        </w:rPr>
        <w:t xml:space="preserve"> </w:t>
      </w:r>
      <w:r w:rsidR="00446863" w:rsidRPr="00F6110A">
        <w:rPr>
          <w:rFonts w:asciiTheme="majorBidi" w:hAnsiTheme="majorBidi" w:cstheme="majorBidi"/>
          <w:sz w:val="24"/>
          <w:szCs w:val="24"/>
        </w:rPr>
        <w:t>vitesse avec laquelle l'eau y diffuse. Par exemple, le papier Whatman n°1 est le plus utilisé,</w:t>
      </w:r>
      <w:r w:rsidR="00E349EF" w:rsidRPr="00F6110A">
        <w:rPr>
          <w:rFonts w:asciiTheme="majorBidi" w:hAnsiTheme="majorBidi" w:cstheme="majorBidi"/>
          <w:sz w:val="24"/>
          <w:szCs w:val="24"/>
        </w:rPr>
        <w:t xml:space="preserve"> </w:t>
      </w:r>
      <w:r w:rsidR="00446863" w:rsidRPr="00F6110A">
        <w:rPr>
          <w:rFonts w:asciiTheme="majorBidi" w:hAnsiTheme="majorBidi" w:cstheme="majorBidi"/>
          <w:sz w:val="24"/>
          <w:szCs w:val="24"/>
        </w:rPr>
        <w:t xml:space="preserve">mais si on désire une grande vitesse d'écoulement, on emploiera le n°4 ; le </w:t>
      </w:r>
      <w:r w:rsidR="00446863" w:rsidRPr="00F6110A">
        <w:rPr>
          <w:rFonts w:asciiTheme="majorBidi" w:hAnsiTheme="majorBidi" w:cstheme="majorBidi"/>
          <w:sz w:val="24"/>
          <w:szCs w:val="24"/>
        </w:rPr>
        <w:lastRenderedPageBreak/>
        <w:t>papier n°20 est très</w:t>
      </w:r>
      <w:r w:rsidR="00E349EF" w:rsidRPr="00F6110A">
        <w:rPr>
          <w:rFonts w:asciiTheme="majorBidi" w:hAnsiTheme="majorBidi" w:cstheme="majorBidi"/>
          <w:sz w:val="24"/>
          <w:szCs w:val="24"/>
        </w:rPr>
        <w:t xml:space="preserve"> </w:t>
      </w:r>
      <w:r w:rsidR="00446863" w:rsidRPr="00F6110A">
        <w:rPr>
          <w:rFonts w:asciiTheme="majorBidi" w:hAnsiTheme="majorBidi" w:cstheme="majorBidi"/>
          <w:sz w:val="24"/>
          <w:szCs w:val="24"/>
        </w:rPr>
        <w:t>lent, mais il permet une meilleure séparation, donnant les taches très denses et uniformes.</w:t>
      </w:r>
      <w:r w:rsidR="00E349EF" w:rsidRPr="00F6110A">
        <w:rPr>
          <w:rFonts w:asciiTheme="majorBidi" w:hAnsiTheme="majorBidi" w:cstheme="majorBidi"/>
          <w:sz w:val="24"/>
          <w:szCs w:val="24"/>
        </w:rPr>
        <w:t xml:space="preserve"> </w:t>
      </w:r>
    </w:p>
    <w:p w:rsidR="001E416C" w:rsidRPr="00F6110A" w:rsidRDefault="001E416C" w:rsidP="00F6110A">
      <w:pPr>
        <w:spacing w:line="360" w:lineRule="auto"/>
        <w:jc w:val="both"/>
        <w:rPr>
          <w:rFonts w:asciiTheme="majorBidi" w:eastAsia="Times New Roman" w:hAnsiTheme="majorBidi" w:cstheme="majorBidi"/>
          <w:sz w:val="24"/>
          <w:szCs w:val="24"/>
          <w:lang w:eastAsia="fr-FR"/>
        </w:rPr>
      </w:pPr>
      <w:r w:rsidRPr="00F6110A">
        <w:rPr>
          <w:rFonts w:asciiTheme="majorBidi" w:eastAsia="Times New Roman" w:hAnsiTheme="majorBidi" w:cstheme="majorBidi"/>
          <w:b/>
          <w:bCs/>
          <w:sz w:val="24"/>
          <w:szCs w:val="24"/>
          <w:lang w:eastAsia="fr-FR"/>
        </w:rPr>
        <w:t>Solvants :</w:t>
      </w:r>
      <w:r w:rsidRPr="00F6110A">
        <w:rPr>
          <w:rFonts w:asciiTheme="majorBidi" w:eastAsia="Times New Roman" w:hAnsiTheme="majorBidi" w:cstheme="majorBidi"/>
          <w:sz w:val="24"/>
          <w:szCs w:val="24"/>
          <w:lang w:eastAsia="fr-FR"/>
        </w:rPr>
        <w:t> </w:t>
      </w:r>
    </w:p>
    <w:p w:rsidR="001E416C" w:rsidRPr="00F6110A" w:rsidRDefault="001E416C" w:rsidP="00AC0B4B">
      <w:pPr>
        <w:spacing w:line="360" w:lineRule="auto"/>
        <w:jc w:val="both"/>
        <w:rPr>
          <w:rFonts w:asciiTheme="majorBidi" w:eastAsia="Times New Roman" w:hAnsiTheme="majorBidi" w:cstheme="majorBidi"/>
          <w:sz w:val="24"/>
          <w:szCs w:val="24"/>
          <w:lang w:eastAsia="fr-FR"/>
        </w:rPr>
      </w:pPr>
      <w:r w:rsidRPr="00F6110A">
        <w:rPr>
          <w:rFonts w:asciiTheme="majorBidi" w:eastAsia="Times New Roman" w:hAnsiTheme="majorBidi" w:cstheme="majorBidi"/>
          <w:sz w:val="24"/>
          <w:szCs w:val="24"/>
          <w:lang w:eastAsia="fr-FR"/>
        </w:rPr>
        <w:t>Les deux solvants sont caractérisés pas leur différence de polarité et leur non-miscibilité. Généralement, </w:t>
      </w:r>
      <w:r w:rsidRPr="00AC0B4B">
        <w:rPr>
          <w:rFonts w:asciiTheme="majorBidi" w:eastAsia="Times New Roman" w:hAnsiTheme="majorBidi" w:cstheme="majorBidi"/>
          <w:sz w:val="24"/>
          <w:szCs w:val="24"/>
          <w:lang w:eastAsia="fr-FR"/>
        </w:rPr>
        <w:t>le solvant fixe est polaire</w:t>
      </w:r>
      <w:r w:rsidR="00AC0B4B">
        <w:rPr>
          <w:rFonts w:asciiTheme="majorBidi" w:eastAsia="Times New Roman" w:hAnsiTheme="majorBidi" w:cstheme="majorBidi"/>
          <w:sz w:val="24"/>
          <w:szCs w:val="24"/>
          <w:lang w:eastAsia="fr-FR"/>
        </w:rPr>
        <w:t xml:space="preserve">, </w:t>
      </w:r>
      <w:r w:rsidRPr="00F6110A">
        <w:rPr>
          <w:rFonts w:asciiTheme="majorBidi" w:eastAsia="Times New Roman" w:hAnsiTheme="majorBidi" w:cstheme="majorBidi"/>
          <w:sz w:val="24"/>
          <w:szCs w:val="24"/>
          <w:lang w:eastAsia="fr-FR"/>
        </w:rPr>
        <w:t>très souvent, ce sera l'eau. Le solvant mobile non-polaire est souvent un mélange plus ou moins apolaire, choisi selon les nécessités de la séparation</w:t>
      </w:r>
    </w:p>
    <w:p w:rsidR="001E416C" w:rsidRPr="00F6110A" w:rsidRDefault="001E416C" w:rsidP="00F6110A">
      <w:pPr>
        <w:pStyle w:val="NormalWeb"/>
        <w:spacing w:line="360" w:lineRule="auto"/>
        <w:jc w:val="both"/>
        <w:rPr>
          <w:rFonts w:asciiTheme="majorBidi" w:hAnsiTheme="majorBidi" w:cstheme="majorBidi"/>
          <w:b/>
          <w:bCs/>
          <w:color w:val="0000FF"/>
        </w:rPr>
      </w:pPr>
      <w:r w:rsidRPr="00F6110A">
        <w:rPr>
          <w:rFonts w:asciiTheme="majorBidi" w:hAnsiTheme="majorBidi" w:cstheme="majorBidi"/>
          <w:b/>
          <w:bCs/>
          <w:color w:val="000000"/>
        </w:rPr>
        <w:t>Mode de migration du solvant :</w:t>
      </w:r>
      <w:r w:rsidRPr="00F6110A">
        <w:rPr>
          <w:rStyle w:val="apple-converted-space"/>
          <w:rFonts w:asciiTheme="majorBidi" w:hAnsiTheme="majorBidi" w:cstheme="majorBidi"/>
          <w:b/>
          <w:bCs/>
          <w:color w:val="000000"/>
        </w:rPr>
        <w:t> </w:t>
      </w:r>
    </w:p>
    <w:p w:rsidR="00F6110A" w:rsidRDefault="001E416C" w:rsidP="00F6110A">
      <w:pPr>
        <w:pStyle w:val="NormalWeb"/>
        <w:spacing w:line="360" w:lineRule="auto"/>
        <w:jc w:val="both"/>
        <w:rPr>
          <w:rFonts w:asciiTheme="majorBidi" w:hAnsiTheme="majorBidi" w:cstheme="majorBidi"/>
          <w:color w:val="000000"/>
        </w:rPr>
      </w:pPr>
      <w:r w:rsidRPr="00F6110A">
        <w:rPr>
          <w:rFonts w:asciiTheme="majorBidi" w:hAnsiTheme="majorBidi" w:cstheme="majorBidi"/>
          <w:noProof/>
          <w:color w:val="0000FF"/>
        </w:rPr>
        <w:drawing>
          <wp:inline distT="0" distB="0" distL="0" distR="0">
            <wp:extent cx="1657350" cy="1866900"/>
            <wp:effectExtent l="0" t="0" r="0" b="0"/>
            <wp:docPr id="2" name="Image 1" descr="http://sciences-physiques.ac-montpellier.fr/ABCDORGA/Famille/Chroma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s-physiques.ac-montpellier.fr/ABCDORGA/Famille/Chromat8.gif"/>
                    <pic:cNvPicPr>
                      <a:picLocks noChangeAspect="1" noChangeArrowheads="1"/>
                    </pic:cNvPicPr>
                  </pic:nvPicPr>
                  <pic:blipFill>
                    <a:blip r:embed="rId7"/>
                    <a:srcRect/>
                    <a:stretch>
                      <a:fillRect/>
                    </a:stretch>
                  </pic:blipFill>
                  <pic:spPr bwMode="auto">
                    <a:xfrm>
                      <a:off x="0" y="0"/>
                      <a:ext cx="1657350" cy="1866900"/>
                    </a:xfrm>
                    <a:prstGeom prst="rect">
                      <a:avLst/>
                    </a:prstGeom>
                    <a:noFill/>
                    <a:ln w="9525">
                      <a:noFill/>
                      <a:miter lim="800000"/>
                      <a:headEnd/>
                      <a:tailEnd/>
                    </a:ln>
                  </pic:spPr>
                </pic:pic>
              </a:graphicData>
            </a:graphic>
          </wp:inline>
        </w:drawing>
      </w:r>
      <w:r w:rsidRPr="00F6110A">
        <w:rPr>
          <w:rFonts w:asciiTheme="majorBidi" w:hAnsiTheme="majorBidi" w:cstheme="majorBidi"/>
          <w:color w:val="000000"/>
        </w:rPr>
        <w:t xml:space="preserve">* le solvant monte : chromatographie ascendante </w:t>
      </w:r>
    </w:p>
    <w:p w:rsidR="001E416C" w:rsidRPr="00F6110A" w:rsidRDefault="001E416C" w:rsidP="00F6110A">
      <w:pPr>
        <w:pStyle w:val="NormalWeb"/>
        <w:spacing w:line="360" w:lineRule="auto"/>
        <w:jc w:val="both"/>
        <w:rPr>
          <w:rFonts w:asciiTheme="majorBidi" w:hAnsiTheme="majorBidi" w:cstheme="majorBidi"/>
          <w:color w:val="0000FF"/>
        </w:rPr>
      </w:pPr>
      <w:r w:rsidRPr="00F6110A">
        <w:rPr>
          <w:rFonts w:asciiTheme="majorBidi" w:hAnsiTheme="majorBidi" w:cstheme="majorBidi"/>
          <w:noProof/>
          <w:color w:val="0000FF"/>
        </w:rPr>
        <w:drawing>
          <wp:inline distT="0" distB="0" distL="0" distR="0">
            <wp:extent cx="1562100" cy="1933575"/>
            <wp:effectExtent l="0" t="0" r="0" b="0"/>
            <wp:docPr id="3" name="Image 2" descr="http://sciences-physiques.ac-montpellier.fr/ABCDORGA/Famille/chroma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ences-physiques.ac-montpellier.fr/ABCDORGA/Famille/chromat9.gif"/>
                    <pic:cNvPicPr>
                      <a:picLocks noChangeAspect="1" noChangeArrowheads="1"/>
                    </pic:cNvPicPr>
                  </pic:nvPicPr>
                  <pic:blipFill>
                    <a:blip r:embed="rId8"/>
                    <a:srcRect/>
                    <a:stretch>
                      <a:fillRect/>
                    </a:stretch>
                  </pic:blipFill>
                  <pic:spPr bwMode="auto">
                    <a:xfrm>
                      <a:off x="0" y="0"/>
                      <a:ext cx="1562100" cy="1933575"/>
                    </a:xfrm>
                    <a:prstGeom prst="rect">
                      <a:avLst/>
                    </a:prstGeom>
                    <a:noFill/>
                    <a:ln w="9525">
                      <a:noFill/>
                      <a:miter lim="800000"/>
                      <a:headEnd/>
                      <a:tailEnd/>
                    </a:ln>
                  </pic:spPr>
                </pic:pic>
              </a:graphicData>
            </a:graphic>
          </wp:inline>
        </w:drawing>
      </w:r>
      <w:r w:rsidRPr="00F6110A">
        <w:rPr>
          <w:rFonts w:asciiTheme="majorBidi" w:hAnsiTheme="majorBidi" w:cstheme="majorBidi"/>
          <w:color w:val="000000"/>
        </w:rPr>
        <w:t xml:space="preserve">* le solvant descend : chromatographie descendante </w:t>
      </w:r>
    </w:p>
    <w:p w:rsidR="00E349EF" w:rsidRPr="00F6110A" w:rsidRDefault="00E349EF" w:rsidP="00F6110A">
      <w:pPr>
        <w:spacing w:before="240" w:after="0" w:line="360" w:lineRule="auto"/>
        <w:jc w:val="both"/>
        <w:rPr>
          <w:rFonts w:asciiTheme="majorBidi" w:hAnsiTheme="majorBidi" w:cstheme="majorBidi"/>
          <w:sz w:val="24"/>
          <w:szCs w:val="24"/>
        </w:rPr>
      </w:pPr>
      <w:r w:rsidRPr="00F6110A">
        <w:rPr>
          <w:rFonts w:asciiTheme="majorBidi" w:hAnsiTheme="majorBidi" w:cstheme="majorBidi"/>
          <w:b/>
          <w:bCs/>
          <w:sz w:val="24"/>
          <w:szCs w:val="24"/>
        </w:rPr>
        <w:t xml:space="preserve">Protocole expérimental </w:t>
      </w:r>
      <w:r w:rsidRPr="00F6110A">
        <w:rPr>
          <w:rFonts w:asciiTheme="majorBidi" w:hAnsiTheme="majorBidi" w:cstheme="majorBidi"/>
          <w:sz w:val="24"/>
          <w:szCs w:val="24"/>
        </w:rPr>
        <w:t>:</w:t>
      </w:r>
    </w:p>
    <w:p w:rsidR="00E349EF" w:rsidRPr="00F6110A" w:rsidRDefault="00E349EF" w:rsidP="00F6110A">
      <w:pPr>
        <w:pStyle w:val="Paragraphedeliste"/>
        <w:numPr>
          <w:ilvl w:val="0"/>
          <w:numId w:val="6"/>
        </w:numPr>
        <w:spacing w:before="240" w:after="0" w:line="360" w:lineRule="auto"/>
        <w:jc w:val="both"/>
        <w:rPr>
          <w:rFonts w:asciiTheme="majorBidi" w:hAnsiTheme="majorBidi" w:cstheme="majorBidi"/>
          <w:sz w:val="24"/>
          <w:szCs w:val="24"/>
        </w:rPr>
      </w:pPr>
      <w:r w:rsidRPr="00F6110A">
        <w:rPr>
          <w:rFonts w:asciiTheme="majorBidi" w:hAnsiTheme="majorBidi" w:cstheme="majorBidi"/>
          <w:sz w:val="24"/>
          <w:szCs w:val="24"/>
        </w:rPr>
        <w:t>Découper une bande de papier Whatman dont les dimensions sont, en largeur, légèrement inférieure au diamètre de la cuve et en hauteur, légèrement inférieure à la hauteur totale de la cuve.</w:t>
      </w:r>
    </w:p>
    <w:p w:rsidR="00534CB7" w:rsidRPr="00AC0B4B" w:rsidRDefault="00E349EF" w:rsidP="00F6110A">
      <w:pPr>
        <w:pStyle w:val="Paragraphedeliste"/>
        <w:numPr>
          <w:ilvl w:val="0"/>
          <w:numId w:val="6"/>
        </w:numPr>
        <w:spacing w:before="240" w:after="0" w:line="360" w:lineRule="auto"/>
        <w:jc w:val="both"/>
        <w:rPr>
          <w:rFonts w:asciiTheme="majorBidi" w:hAnsiTheme="majorBidi" w:cstheme="majorBidi"/>
          <w:sz w:val="24"/>
          <w:szCs w:val="24"/>
        </w:rPr>
      </w:pPr>
      <w:r w:rsidRPr="00AC0B4B">
        <w:rPr>
          <w:rFonts w:asciiTheme="majorBidi" w:hAnsiTheme="majorBidi" w:cstheme="majorBidi"/>
          <w:sz w:val="24"/>
          <w:szCs w:val="24"/>
        </w:rPr>
        <w:t xml:space="preserve">Tracer avec un crayon de papier un trait horizontal : c’est la ligne de dépôt. Ce trait ne doit pas tremper dans le solvant contenu dans la cuve. </w:t>
      </w:r>
    </w:p>
    <w:p w:rsidR="00E349EF" w:rsidRPr="00AC0B4B" w:rsidRDefault="00AC0B4B" w:rsidP="00AC0B4B">
      <w:pPr>
        <w:pStyle w:val="Paragraphedeliste"/>
        <w:numPr>
          <w:ilvl w:val="0"/>
          <w:numId w:val="6"/>
        </w:numPr>
        <w:spacing w:before="240" w:after="0" w:line="360" w:lineRule="auto"/>
        <w:jc w:val="both"/>
        <w:rPr>
          <w:rFonts w:asciiTheme="majorBidi" w:hAnsiTheme="majorBidi" w:cstheme="majorBidi"/>
          <w:sz w:val="24"/>
          <w:szCs w:val="24"/>
        </w:rPr>
      </w:pPr>
      <w:r w:rsidRPr="00AC0B4B">
        <w:rPr>
          <w:rFonts w:asciiTheme="majorBidi" w:hAnsiTheme="majorBidi" w:cstheme="majorBidi"/>
          <w:sz w:val="24"/>
          <w:szCs w:val="24"/>
        </w:rPr>
        <w:lastRenderedPageBreak/>
        <w:t>A l’aide de tubes capillaires, déposer</w:t>
      </w:r>
      <w:r w:rsidR="00E349EF" w:rsidRPr="00AC0B4B">
        <w:rPr>
          <w:rFonts w:asciiTheme="majorBidi" w:hAnsiTheme="majorBidi" w:cstheme="majorBidi"/>
          <w:sz w:val="24"/>
          <w:szCs w:val="24"/>
        </w:rPr>
        <w:t xml:space="preserve"> une microgoutte des produits à analyser. Faire attention à laisser suffisamment d’espace entre les différents produits déposés. Ensuite, tremper verticalement le papier dans l’éluant, en faisant bien attention à ce que la ligne de dépôt soit au dessus du niveau de l’éluant.</w:t>
      </w:r>
    </w:p>
    <w:p w:rsidR="00E349EF" w:rsidRPr="00AC0B4B" w:rsidRDefault="00E349EF" w:rsidP="00F6110A">
      <w:pPr>
        <w:pStyle w:val="Paragraphedeliste"/>
        <w:numPr>
          <w:ilvl w:val="0"/>
          <w:numId w:val="6"/>
        </w:numPr>
        <w:spacing w:before="240" w:after="0" w:line="360" w:lineRule="auto"/>
        <w:jc w:val="both"/>
        <w:rPr>
          <w:rFonts w:asciiTheme="majorBidi" w:hAnsiTheme="majorBidi" w:cstheme="majorBidi"/>
          <w:sz w:val="24"/>
          <w:szCs w:val="24"/>
        </w:rPr>
      </w:pPr>
      <w:r w:rsidRPr="00AC0B4B">
        <w:rPr>
          <w:rFonts w:asciiTheme="majorBidi" w:hAnsiTheme="majorBidi" w:cstheme="majorBidi"/>
          <w:sz w:val="24"/>
          <w:szCs w:val="24"/>
        </w:rPr>
        <w:t>Fermer la cuve et ne pas la déplacer.</w:t>
      </w:r>
    </w:p>
    <w:p w:rsidR="00E349EF" w:rsidRPr="00AC0B4B" w:rsidRDefault="00E349EF" w:rsidP="00F6110A">
      <w:pPr>
        <w:pStyle w:val="Paragraphedeliste"/>
        <w:numPr>
          <w:ilvl w:val="0"/>
          <w:numId w:val="6"/>
        </w:numPr>
        <w:spacing w:before="240" w:after="0" w:line="360" w:lineRule="auto"/>
        <w:jc w:val="both"/>
        <w:rPr>
          <w:rFonts w:asciiTheme="majorBidi" w:hAnsiTheme="majorBidi" w:cstheme="majorBidi"/>
          <w:sz w:val="24"/>
          <w:szCs w:val="24"/>
        </w:rPr>
      </w:pPr>
      <w:r w:rsidRPr="00AC0B4B">
        <w:rPr>
          <w:rFonts w:asciiTheme="majorBidi" w:hAnsiTheme="majorBidi" w:cstheme="majorBidi"/>
          <w:sz w:val="24"/>
          <w:szCs w:val="24"/>
        </w:rPr>
        <w:t xml:space="preserve">Quant l’éluant a fini de migrer, sortir le papier de la cuve et repérer le niveau atteint par ce dernier (appelé front de l’éluant) à l'aide d'un crayon </w:t>
      </w:r>
      <w:r w:rsidR="00534CB7" w:rsidRPr="00AC0B4B">
        <w:rPr>
          <w:rFonts w:asciiTheme="majorBidi" w:hAnsiTheme="majorBidi" w:cstheme="majorBidi"/>
          <w:sz w:val="24"/>
          <w:szCs w:val="24"/>
        </w:rPr>
        <w:t>puis sécher le papier avec un séchoir</w:t>
      </w:r>
      <w:r w:rsidRPr="00AC0B4B">
        <w:rPr>
          <w:rFonts w:asciiTheme="majorBidi" w:hAnsiTheme="majorBidi" w:cstheme="majorBidi"/>
          <w:sz w:val="24"/>
          <w:szCs w:val="24"/>
        </w:rPr>
        <w:t>.</w:t>
      </w:r>
    </w:p>
    <w:p w:rsidR="00B83BA1" w:rsidRPr="00F6110A" w:rsidRDefault="00B83BA1" w:rsidP="00F6110A">
      <w:pPr>
        <w:spacing w:before="240" w:after="0" w:line="360" w:lineRule="auto"/>
        <w:jc w:val="both"/>
        <w:rPr>
          <w:rFonts w:asciiTheme="majorBidi" w:hAnsiTheme="majorBidi" w:cstheme="majorBidi"/>
          <w:sz w:val="24"/>
          <w:szCs w:val="24"/>
        </w:rPr>
      </w:pPr>
      <w:r w:rsidRPr="00C600DC">
        <w:rPr>
          <w:rFonts w:asciiTheme="majorBidi" w:hAnsiTheme="majorBidi" w:cstheme="majorBidi"/>
          <w:b/>
          <w:bCs/>
          <w:sz w:val="24"/>
          <w:szCs w:val="24"/>
          <w:highlight w:val="yellow"/>
        </w:rPr>
        <w:t>Chromatographie bidimensionnelle</w:t>
      </w:r>
      <w:r w:rsidR="00E349EF" w:rsidRPr="00C600DC">
        <w:rPr>
          <w:rFonts w:asciiTheme="majorBidi" w:hAnsiTheme="majorBidi" w:cstheme="majorBidi"/>
          <w:b/>
          <w:bCs/>
          <w:sz w:val="24"/>
          <w:szCs w:val="24"/>
          <w:highlight w:val="yellow"/>
        </w:rPr>
        <w:t> :</w:t>
      </w:r>
    </w:p>
    <w:p w:rsidR="00B83BA1" w:rsidRPr="00AC0B4B" w:rsidRDefault="00B83BA1" w:rsidP="00F6110A">
      <w:pPr>
        <w:autoSpaceDE w:val="0"/>
        <w:autoSpaceDN w:val="0"/>
        <w:adjustRightInd w:val="0"/>
        <w:spacing w:line="360" w:lineRule="auto"/>
        <w:jc w:val="both"/>
        <w:rPr>
          <w:rFonts w:asciiTheme="majorBidi" w:hAnsiTheme="majorBidi" w:cstheme="majorBidi"/>
          <w:sz w:val="24"/>
          <w:szCs w:val="24"/>
        </w:rPr>
      </w:pPr>
      <w:r w:rsidRPr="00AC0B4B">
        <w:rPr>
          <w:rFonts w:asciiTheme="majorBidi" w:hAnsiTheme="majorBidi" w:cstheme="majorBidi"/>
          <w:sz w:val="24"/>
          <w:szCs w:val="24"/>
        </w:rPr>
        <w:t>Dans le cas où le mélange contient des solutés de mobilités voisines, on peut</w:t>
      </w:r>
      <w:r w:rsidR="00E349EF" w:rsidRPr="00AC0B4B">
        <w:rPr>
          <w:rFonts w:asciiTheme="majorBidi" w:hAnsiTheme="majorBidi" w:cstheme="majorBidi"/>
          <w:sz w:val="24"/>
          <w:szCs w:val="24"/>
        </w:rPr>
        <w:t xml:space="preserve"> </w:t>
      </w:r>
      <w:r w:rsidRPr="00AC0B4B">
        <w:rPr>
          <w:rFonts w:asciiTheme="majorBidi" w:hAnsiTheme="majorBidi" w:cstheme="majorBidi"/>
          <w:sz w:val="24"/>
          <w:szCs w:val="24"/>
        </w:rPr>
        <w:t>augmenter le pouvoir séparateur en réalisant une chromatographie bidimensionnelle : sur</w:t>
      </w:r>
      <w:r w:rsidR="00E349EF" w:rsidRPr="00AC0B4B">
        <w:rPr>
          <w:rFonts w:asciiTheme="majorBidi" w:hAnsiTheme="majorBidi" w:cstheme="majorBidi"/>
          <w:sz w:val="24"/>
          <w:szCs w:val="24"/>
        </w:rPr>
        <w:t xml:space="preserve"> </w:t>
      </w:r>
      <w:r w:rsidRPr="00AC0B4B">
        <w:rPr>
          <w:rFonts w:asciiTheme="majorBidi" w:hAnsiTheme="majorBidi" w:cstheme="majorBidi"/>
          <w:sz w:val="24"/>
          <w:szCs w:val="24"/>
        </w:rPr>
        <w:t>le même support, on réalise une première chromatographie à l’aide d’un système de</w:t>
      </w:r>
      <w:r w:rsidR="00E349EF" w:rsidRPr="00AC0B4B">
        <w:rPr>
          <w:rFonts w:asciiTheme="majorBidi" w:hAnsiTheme="majorBidi" w:cstheme="majorBidi"/>
          <w:sz w:val="24"/>
          <w:szCs w:val="24"/>
        </w:rPr>
        <w:t xml:space="preserve"> </w:t>
      </w:r>
      <w:r w:rsidRPr="00AC0B4B">
        <w:rPr>
          <w:rFonts w:asciiTheme="majorBidi" w:hAnsiTheme="majorBidi" w:cstheme="majorBidi"/>
          <w:sz w:val="24"/>
          <w:szCs w:val="24"/>
        </w:rPr>
        <w:t>solvants, puis une deuxième à l’aide d’un second système de solvants, dans une direction</w:t>
      </w:r>
      <w:r w:rsidR="00E349EF" w:rsidRPr="00AC0B4B">
        <w:rPr>
          <w:rFonts w:asciiTheme="majorBidi" w:hAnsiTheme="majorBidi" w:cstheme="majorBidi"/>
          <w:sz w:val="24"/>
          <w:szCs w:val="24"/>
        </w:rPr>
        <w:t xml:space="preserve"> </w:t>
      </w:r>
      <w:r w:rsidRPr="00AC0B4B">
        <w:rPr>
          <w:rFonts w:asciiTheme="majorBidi" w:hAnsiTheme="majorBidi" w:cstheme="majorBidi"/>
          <w:sz w:val="24"/>
          <w:szCs w:val="24"/>
        </w:rPr>
        <w:t>perpendiculaire à la première.</w:t>
      </w:r>
    </w:p>
    <w:p w:rsidR="00B83BA1" w:rsidRPr="00F6110A" w:rsidRDefault="00B83BA1" w:rsidP="00F6110A">
      <w:pPr>
        <w:spacing w:line="360" w:lineRule="auto"/>
        <w:jc w:val="both"/>
        <w:rPr>
          <w:rFonts w:asciiTheme="majorBidi" w:hAnsiTheme="majorBidi" w:cstheme="majorBidi"/>
          <w:sz w:val="24"/>
          <w:szCs w:val="24"/>
        </w:rPr>
      </w:pPr>
      <w:r w:rsidRPr="00F6110A">
        <w:rPr>
          <w:rFonts w:asciiTheme="majorBidi" w:hAnsiTheme="majorBidi" w:cstheme="majorBidi"/>
          <w:noProof/>
          <w:sz w:val="24"/>
          <w:szCs w:val="24"/>
          <w:lang w:eastAsia="fr-FR"/>
        </w:rPr>
        <w:drawing>
          <wp:inline distT="0" distB="0" distL="0" distR="0">
            <wp:extent cx="5743575" cy="23526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43575" cy="2352675"/>
                    </a:xfrm>
                    <a:prstGeom prst="rect">
                      <a:avLst/>
                    </a:prstGeom>
                    <a:noFill/>
                    <a:ln w="9525">
                      <a:noFill/>
                      <a:miter lim="800000"/>
                      <a:headEnd/>
                      <a:tailEnd/>
                    </a:ln>
                  </pic:spPr>
                </pic:pic>
              </a:graphicData>
            </a:graphic>
          </wp:inline>
        </w:drawing>
      </w:r>
    </w:p>
    <w:p w:rsidR="00B83BA1" w:rsidRPr="00F6110A" w:rsidRDefault="003B07F8" w:rsidP="00F6110A">
      <w:pPr>
        <w:autoSpaceDE w:val="0"/>
        <w:autoSpaceDN w:val="0"/>
        <w:adjustRightInd w:val="0"/>
        <w:spacing w:line="360" w:lineRule="auto"/>
        <w:jc w:val="center"/>
        <w:rPr>
          <w:rFonts w:asciiTheme="majorBidi" w:hAnsiTheme="majorBidi" w:cstheme="majorBidi"/>
          <w:b/>
          <w:bCs/>
          <w:i/>
          <w:iCs/>
          <w:sz w:val="24"/>
          <w:szCs w:val="24"/>
        </w:rPr>
      </w:pPr>
      <w:r w:rsidRPr="00F6110A">
        <w:rPr>
          <w:rFonts w:asciiTheme="majorBidi" w:hAnsiTheme="majorBidi" w:cstheme="majorBidi"/>
          <w:b/>
          <w:bCs/>
          <w:sz w:val="24"/>
          <w:szCs w:val="24"/>
        </w:rPr>
        <w:t>Figure</w:t>
      </w:r>
      <w:r w:rsidR="00B83BA1" w:rsidRPr="00F6110A">
        <w:rPr>
          <w:rFonts w:asciiTheme="majorBidi" w:hAnsiTheme="majorBidi" w:cstheme="majorBidi"/>
          <w:b/>
          <w:bCs/>
          <w:sz w:val="24"/>
          <w:szCs w:val="24"/>
        </w:rPr>
        <w:t xml:space="preserve"> : </w:t>
      </w:r>
      <w:r w:rsidR="00B83BA1" w:rsidRPr="00F6110A">
        <w:rPr>
          <w:rFonts w:asciiTheme="majorBidi" w:hAnsiTheme="majorBidi" w:cstheme="majorBidi"/>
          <w:sz w:val="24"/>
          <w:szCs w:val="24"/>
        </w:rPr>
        <w:t>Chromatographie</w:t>
      </w:r>
      <w:r w:rsidR="00E349EF" w:rsidRPr="00F6110A">
        <w:rPr>
          <w:rFonts w:asciiTheme="majorBidi" w:hAnsiTheme="majorBidi" w:cstheme="majorBidi"/>
          <w:sz w:val="24"/>
          <w:szCs w:val="24"/>
        </w:rPr>
        <w:t xml:space="preserve"> </w:t>
      </w:r>
      <w:r w:rsidR="00B83BA1" w:rsidRPr="00F6110A">
        <w:rPr>
          <w:rFonts w:asciiTheme="majorBidi" w:hAnsiTheme="majorBidi" w:cstheme="majorBidi"/>
          <w:sz w:val="24"/>
          <w:szCs w:val="24"/>
        </w:rPr>
        <w:t>liquide-liquide bidimensionnelle</w:t>
      </w:r>
    </w:p>
    <w:sectPr w:rsidR="00B83BA1" w:rsidRPr="00F6110A" w:rsidSect="00CA653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489" w:rsidRDefault="00CF3489" w:rsidP="006A4C91">
      <w:pPr>
        <w:spacing w:after="0" w:line="240" w:lineRule="auto"/>
      </w:pPr>
      <w:r>
        <w:separator/>
      </w:r>
    </w:p>
  </w:endnote>
  <w:endnote w:type="continuationSeparator" w:id="1">
    <w:p w:rsidR="00CF3489" w:rsidRDefault="00CF3489" w:rsidP="006A4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4526"/>
      <w:docPartObj>
        <w:docPartGallery w:val="Page Numbers (Bottom of Page)"/>
        <w:docPartUnique/>
      </w:docPartObj>
    </w:sdtPr>
    <w:sdtEndPr>
      <w:rPr>
        <w:rFonts w:asciiTheme="majorBidi" w:hAnsiTheme="majorBidi" w:cstheme="majorBidi"/>
        <w:b/>
        <w:bCs/>
        <w:sz w:val="20"/>
        <w:szCs w:val="20"/>
      </w:rPr>
    </w:sdtEndPr>
    <w:sdtContent>
      <w:p w:rsidR="006A4C91" w:rsidRDefault="00E10700">
        <w:pPr>
          <w:pStyle w:val="Pieddepage"/>
          <w:jc w:val="right"/>
        </w:pPr>
        <w:r w:rsidRPr="006A4C91">
          <w:rPr>
            <w:rFonts w:asciiTheme="majorBidi" w:hAnsiTheme="majorBidi" w:cstheme="majorBidi"/>
            <w:b/>
            <w:bCs/>
            <w:sz w:val="20"/>
            <w:szCs w:val="20"/>
          </w:rPr>
          <w:fldChar w:fldCharType="begin"/>
        </w:r>
        <w:r w:rsidR="006A4C91" w:rsidRPr="006A4C91">
          <w:rPr>
            <w:rFonts w:asciiTheme="majorBidi" w:hAnsiTheme="majorBidi" w:cstheme="majorBidi"/>
            <w:b/>
            <w:bCs/>
            <w:sz w:val="20"/>
            <w:szCs w:val="20"/>
          </w:rPr>
          <w:instrText xml:space="preserve"> PAGE   \* MERGEFORMAT </w:instrText>
        </w:r>
        <w:r w:rsidRPr="006A4C91">
          <w:rPr>
            <w:rFonts w:asciiTheme="majorBidi" w:hAnsiTheme="majorBidi" w:cstheme="majorBidi"/>
            <w:b/>
            <w:bCs/>
            <w:sz w:val="20"/>
            <w:szCs w:val="20"/>
          </w:rPr>
          <w:fldChar w:fldCharType="separate"/>
        </w:r>
        <w:r w:rsidR="00C600DC">
          <w:rPr>
            <w:rFonts w:asciiTheme="majorBidi" w:hAnsiTheme="majorBidi" w:cstheme="majorBidi"/>
            <w:b/>
            <w:bCs/>
            <w:noProof/>
            <w:sz w:val="20"/>
            <w:szCs w:val="20"/>
          </w:rPr>
          <w:t>1</w:t>
        </w:r>
        <w:r w:rsidRPr="006A4C91">
          <w:rPr>
            <w:rFonts w:asciiTheme="majorBidi" w:hAnsiTheme="majorBidi" w:cstheme="majorBidi"/>
            <w:b/>
            <w:bCs/>
            <w:sz w:val="20"/>
            <w:szCs w:val="20"/>
          </w:rPr>
          <w:fldChar w:fldCharType="end"/>
        </w:r>
      </w:p>
    </w:sdtContent>
  </w:sdt>
  <w:p w:rsidR="006A4C91" w:rsidRPr="006A4C91" w:rsidRDefault="006A4C91">
    <w:pPr>
      <w:pStyle w:val="Pieddepage"/>
      <w:rPr>
        <w:rFonts w:asciiTheme="majorBidi" w:hAnsiTheme="majorBidi" w:cstheme="majorBidi"/>
        <w:b/>
        <w:bCs/>
        <w:sz w:val="20"/>
        <w:szCs w:val="20"/>
      </w:rPr>
    </w:pPr>
    <w:r w:rsidRPr="006A4C91">
      <w:rPr>
        <w:rFonts w:asciiTheme="majorBidi" w:hAnsiTheme="majorBidi" w:cstheme="majorBidi"/>
        <w:b/>
        <w:bCs/>
        <w:sz w:val="20"/>
        <w:szCs w:val="20"/>
      </w:rPr>
      <w:t>BOUCHERIT 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489" w:rsidRDefault="00CF3489" w:rsidP="006A4C91">
      <w:pPr>
        <w:spacing w:after="0" w:line="240" w:lineRule="auto"/>
      </w:pPr>
      <w:r>
        <w:separator/>
      </w:r>
    </w:p>
  </w:footnote>
  <w:footnote w:type="continuationSeparator" w:id="1">
    <w:p w:rsidR="00CF3489" w:rsidRDefault="00CF3489" w:rsidP="006A4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91" w:rsidRPr="006A4C91" w:rsidRDefault="006A4C91" w:rsidP="00950074">
    <w:pPr>
      <w:pStyle w:val="En-tte"/>
      <w:rPr>
        <w:rFonts w:asciiTheme="majorBidi" w:hAnsiTheme="majorBidi" w:cstheme="majorBidi"/>
        <w:b/>
        <w:bCs/>
        <w:sz w:val="20"/>
        <w:szCs w:val="20"/>
      </w:rPr>
    </w:pPr>
    <w:r w:rsidRPr="006A4C91">
      <w:rPr>
        <w:rFonts w:asciiTheme="majorBidi" w:hAnsiTheme="majorBidi" w:cstheme="majorBidi"/>
        <w:b/>
        <w:bCs/>
        <w:sz w:val="20"/>
        <w:szCs w:val="20"/>
      </w:rPr>
      <w:t>Technologie</w:t>
    </w:r>
    <w:r w:rsidR="001E416C">
      <w:rPr>
        <w:rFonts w:asciiTheme="majorBidi" w:hAnsiTheme="majorBidi" w:cstheme="majorBidi"/>
        <w:b/>
        <w:bCs/>
        <w:sz w:val="20"/>
        <w:szCs w:val="20"/>
      </w:rPr>
      <w:t>s</w:t>
    </w:r>
    <w:r w:rsidRPr="006A4C91">
      <w:rPr>
        <w:rFonts w:asciiTheme="majorBidi" w:hAnsiTheme="majorBidi" w:cstheme="majorBidi"/>
        <w:b/>
        <w:bCs/>
        <w:sz w:val="20"/>
        <w:szCs w:val="20"/>
      </w:rPr>
      <w:t xml:space="preserve"> de la Biochimie    </w:t>
    </w:r>
    <w:r w:rsidR="001E416C">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00950074">
      <w:rPr>
        <w:rFonts w:asciiTheme="majorBidi" w:hAnsiTheme="majorBidi" w:cstheme="majorBidi"/>
        <w:b/>
        <w:bCs/>
        <w:sz w:val="20"/>
        <w:szCs w:val="20"/>
      </w:rPr>
      <w:t xml:space="preserve">           CHAPITRE II : Méthodes de fractionnement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2E2"/>
    <w:multiLevelType w:val="hybridMultilevel"/>
    <w:tmpl w:val="315ABCDC"/>
    <w:lvl w:ilvl="0" w:tplc="A0E28A70">
      <w:start w:val="1"/>
      <w:numFmt w:val="bullet"/>
      <w:lvlText w:val=""/>
      <w:lvlJc w:val="left"/>
      <w:pPr>
        <w:tabs>
          <w:tab w:val="num" w:pos="360"/>
        </w:tabs>
        <w:ind w:left="360" w:hanging="360"/>
      </w:pPr>
      <w:rPr>
        <w:rFonts w:ascii="Symbol" w:eastAsia="Times New Roman" w:hAnsi="Symbol" w:cs="Times New Roman" w:hint="default"/>
      </w:rPr>
    </w:lvl>
    <w:lvl w:ilvl="1" w:tplc="EA94AEDA">
      <w:start w:val="1"/>
      <w:numFmt w:val="bullet"/>
      <w:lvlText w:val=""/>
      <w:lvlJc w:val="left"/>
      <w:pPr>
        <w:tabs>
          <w:tab w:val="num" w:pos="2520"/>
        </w:tabs>
        <w:ind w:left="2520" w:hanging="420"/>
      </w:pPr>
      <w:rPr>
        <w:rFonts w:ascii="Wingdings" w:eastAsia="Times New Roman" w:hAnsi="Wingdings"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F861F2"/>
    <w:multiLevelType w:val="hybridMultilevel"/>
    <w:tmpl w:val="7BAAC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53284E"/>
    <w:multiLevelType w:val="hybridMultilevel"/>
    <w:tmpl w:val="777AEFC8"/>
    <w:lvl w:ilvl="0" w:tplc="C8BE9E5A">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917F8D"/>
    <w:multiLevelType w:val="hybridMultilevel"/>
    <w:tmpl w:val="3E1E715C"/>
    <w:lvl w:ilvl="0" w:tplc="C8BE9E5A">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3F3836"/>
    <w:multiLevelType w:val="hybridMultilevel"/>
    <w:tmpl w:val="5BD2E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E30006"/>
    <w:multiLevelType w:val="hybridMultilevel"/>
    <w:tmpl w:val="9F5C219C"/>
    <w:lvl w:ilvl="0" w:tplc="F86E3D5E">
      <w:start w:val="1"/>
      <w:numFmt w:val="upperRoman"/>
      <w:pStyle w:val="Sous-titre"/>
      <w:lvlText w:val="%1)"/>
      <w:lvlJc w:val="left"/>
      <w:pPr>
        <w:tabs>
          <w:tab w:val="num" w:pos="1080"/>
        </w:tabs>
        <w:ind w:left="1080" w:hanging="720"/>
      </w:pPr>
    </w:lvl>
    <w:lvl w:ilvl="1" w:tplc="78E44D32">
      <w:start w:val="1"/>
      <w:numFmt w:val="decimal"/>
      <w:lvlText w:val="%2)"/>
      <w:lvlJc w:val="left"/>
      <w:pPr>
        <w:tabs>
          <w:tab w:val="num" w:pos="1440"/>
        </w:tabs>
        <w:ind w:left="1440" w:hanging="360"/>
      </w:pPr>
    </w:lvl>
    <w:lvl w:ilvl="2" w:tplc="D458E29A">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0033"/>
    <w:rsid w:val="000116FF"/>
    <w:rsid w:val="000A083C"/>
    <w:rsid w:val="001838D0"/>
    <w:rsid w:val="00194CBF"/>
    <w:rsid w:val="001C45E9"/>
    <w:rsid w:val="001E416C"/>
    <w:rsid w:val="00207346"/>
    <w:rsid w:val="00337564"/>
    <w:rsid w:val="003B07F8"/>
    <w:rsid w:val="00446863"/>
    <w:rsid w:val="004D0692"/>
    <w:rsid w:val="004F5B85"/>
    <w:rsid w:val="00534CB7"/>
    <w:rsid w:val="005D0033"/>
    <w:rsid w:val="005D56A7"/>
    <w:rsid w:val="005E5D52"/>
    <w:rsid w:val="00694B70"/>
    <w:rsid w:val="006A4C91"/>
    <w:rsid w:val="00833E47"/>
    <w:rsid w:val="00950074"/>
    <w:rsid w:val="0099593A"/>
    <w:rsid w:val="009E00F1"/>
    <w:rsid w:val="00AC0B4B"/>
    <w:rsid w:val="00B30139"/>
    <w:rsid w:val="00B6476A"/>
    <w:rsid w:val="00B83BA1"/>
    <w:rsid w:val="00C16A5F"/>
    <w:rsid w:val="00C600DC"/>
    <w:rsid w:val="00CA653E"/>
    <w:rsid w:val="00CD264A"/>
    <w:rsid w:val="00CF3489"/>
    <w:rsid w:val="00E01075"/>
    <w:rsid w:val="00E10700"/>
    <w:rsid w:val="00E349EF"/>
    <w:rsid w:val="00E573C6"/>
    <w:rsid w:val="00EE01FB"/>
    <w:rsid w:val="00EE50DD"/>
    <w:rsid w:val="00F6110A"/>
    <w:rsid w:val="00FD1E88"/>
    <w:rsid w:val="00FE43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53E"/>
  </w:style>
  <w:style w:type="paragraph" w:styleId="Titre3">
    <w:name w:val="heading 3"/>
    <w:basedOn w:val="Normal"/>
    <w:link w:val="Titre3Car"/>
    <w:uiPriority w:val="9"/>
    <w:qFormat/>
    <w:rsid w:val="00446863"/>
    <w:pPr>
      <w:spacing w:before="100" w:beforeAutospacing="1" w:after="100" w:afterAutospacing="1" w:line="240" w:lineRule="auto"/>
      <w:ind w:firstLine="600"/>
      <w:outlineLvl w:val="2"/>
    </w:pPr>
    <w:rPr>
      <w:rFonts w:ascii="Times New Roman" w:eastAsia="Times New Roman" w:hAnsi="Times New Roman" w:cs="Times New Roman"/>
      <w:b/>
      <w:bCs/>
      <w:color w:val="00660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A4C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4C91"/>
  </w:style>
  <w:style w:type="paragraph" w:styleId="Pieddepage">
    <w:name w:val="footer"/>
    <w:basedOn w:val="Normal"/>
    <w:link w:val="PieddepageCar"/>
    <w:uiPriority w:val="99"/>
    <w:unhideWhenUsed/>
    <w:rsid w:val="006A4C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C91"/>
  </w:style>
  <w:style w:type="paragraph" w:styleId="Retraitcorpsdetexte">
    <w:name w:val="Body Text Indent"/>
    <w:basedOn w:val="Normal"/>
    <w:link w:val="RetraitcorpsdetexteCar"/>
    <w:rsid w:val="00207346"/>
    <w:pPr>
      <w:spacing w:after="0" w:line="240" w:lineRule="auto"/>
      <w:ind w:left="1080"/>
    </w:pPr>
    <w:rPr>
      <w:rFonts w:ascii="Times New Roman" w:eastAsia="Times New Roman" w:hAnsi="Times New Roman" w:cs="Times New Roman"/>
      <w:sz w:val="28"/>
      <w:szCs w:val="24"/>
    </w:rPr>
  </w:style>
  <w:style w:type="character" w:customStyle="1" w:styleId="RetraitcorpsdetexteCar">
    <w:name w:val="Retrait corps de texte Car"/>
    <w:basedOn w:val="Policepardfaut"/>
    <w:link w:val="Retraitcorpsdetexte"/>
    <w:rsid w:val="00207346"/>
    <w:rPr>
      <w:rFonts w:ascii="Times New Roman" w:eastAsia="Times New Roman" w:hAnsi="Times New Roman" w:cs="Times New Roman"/>
      <w:sz w:val="28"/>
      <w:szCs w:val="24"/>
    </w:rPr>
  </w:style>
  <w:style w:type="paragraph" w:styleId="Sous-titre">
    <w:name w:val="Subtitle"/>
    <w:basedOn w:val="Normal"/>
    <w:link w:val="Sous-titreCar"/>
    <w:qFormat/>
    <w:rsid w:val="00207346"/>
    <w:pPr>
      <w:numPr>
        <w:numId w:val="1"/>
      </w:numPr>
      <w:spacing w:after="0" w:line="240" w:lineRule="auto"/>
    </w:pPr>
    <w:rPr>
      <w:rFonts w:ascii="Times New Roman" w:eastAsia="Times New Roman" w:hAnsi="Times New Roman" w:cs="Times New Roman"/>
      <w:b/>
      <w:bCs/>
      <w:sz w:val="28"/>
      <w:szCs w:val="24"/>
      <w:u w:val="single"/>
    </w:rPr>
  </w:style>
  <w:style w:type="character" w:customStyle="1" w:styleId="Sous-titreCar">
    <w:name w:val="Sous-titre Car"/>
    <w:basedOn w:val="Policepardfaut"/>
    <w:link w:val="Sous-titre"/>
    <w:rsid w:val="00207346"/>
    <w:rPr>
      <w:rFonts w:ascii="Times New Roman" w:eastAsia="Times New Roman" w:hAnsi="Times New Roman" w:cs="Times New Roman"/>
      <w:b/>
      <w:bCs/>
      <w:sz w:val="28"/>
      <w:szCs w:val="24"/>
      <w:u w:val="single"/>
    </w:rPr>
  </w:style>
  <w:style w:type="paragraph" w:customStyle="1" w:styleId="Default">
    <w:name w:val="Default"/>
    <w:rsid w:val="00446863"/>
    <w:pPr>
      <w:autoSpaceDE w:val="0"/>
      <w:autoSpaceDN w:val="0"/>
      <w:adjustRightInd w:val="0"/>
      <w:spacing w:after="0" w:line="240" w:lineRule="auto"/>
    </w:pPr>
    <w:rPr>
      <w:rFonts w:ascii="Arial" w:hAnsi="Arial" w:cs="Arial"/>
      <w:color w:val="000000"/>
      <w:sz w:val="24"/>
      <w:szCs w:val="24"/>
    </w:rPr>
  </w:style>
  <w:style w:type="paragraph" w:customStyle="1" w:styleId="Standaard">
    <w:name w:val="Standaard"/>
    <w:basedOn w:val="Default"/>
    <w:next w:val="Default"/>
    <w:uiPriority w:val="99"/>
    <w:rsid w:val="00446863"/>
    <w:rPr>
      <w:color w:val="auto"/>
    </w:rPr>
  </w:style>
  <w:style w:type="paragraph" w:styleId="Textedebulles">
    <w:name w:val="Balloon Text"/>
    <w:basedOn w:val="Normal"/>
    <w:link w:val="TextedebullesCar"/>
    <w:uiPriority w:val="99"/>
    <w:semiHidden/>
    <w:unhideWhenUsed/>
    <w:rsid w:val="004468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863"/>
    <w:rPr>
      <w:rFonts w:ascii="Tahoma" w:hAnsi="Tahoma" w:cs="Tahoma"/>
      <w:sz w:val="16"/>
      <w:szCs w:val="16"/>
    </w:rPr>
  </w:style>
  <w:style w:type="character" w:customStyle="1" w:styleId="Titre3Car">
    <w:name w:val="Titre 3 Car"/>
    <w:basedOn w:val="Policepardfaut"/>
    <w:link w:val="Titre3"/>
    <w:uiPriority w:val="9"/>
    <w:rsid w:val="00446863"/>
    <w:rPr>
      <w:rFonts w:ascii="Times New Roman" w:eastAsia="Times New Roman" w:hAnsi="Times New Roman" w:cs="Times New Roman"/>
      <w:b/>
      <w:bCs/>
      <w:color w:val="006600"/>
      <w:sz w:val="32"/>
      <w:szCs w:val="32"/>
      <w:lang w:eastAsia="fr-FR"/>
    </w:rPr>
  </w:style>
  <w:style w:type="paragraph" w:styleId="NormalWeb">
    <w:name w:val="Normal (Web)"/>
    <w:basedOn w:val="Normal"/>
    <w:uiPriority w:val="99"/>
    <w:unhideWhenUsed/>
    <w:rsid w:val="00446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D1E88"/>
    <w:pPr>
      <w:ind w:left="720"/>
      <w:contextualSpacing/>
    </w:pPr>
  </w:style>
  <w:style w:type="character" w:customStyle="1" w:styleId="apple-converted-space">
    <w:name w:val="apple-converted-space"/>
    <w:basedOn w:val="Policepardfaut"/>
    <w:rsid w:val="001E41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3391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Hanane</dc:creator>
  <cp:lastModifiedBy>user</cp:lastModifiedBy>
  <cp:revision>3</cp:revision>
  <dcterms:created xsi:type="dcterms:W3CDTF">2021-05-16T15:04:00Z</dcterms:created>
  <dcterms:modified xsi:type="dcterms:W3CDTF">2021-05-16T15:12:00Z</dcterms:modified>
</cp:coreProperties>
</file>