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690" w:leader="none"/>
        </w:tabs>
        <w:spacing w:lineRule="auto" w:line="276" w:before="240" w:after="240"/>
        <w:ind w:hanging="0"/>
        <w:jc w:val="left"/>
        <w:rPr>
          <w:b/>
          <w:b/>
          <w:bCs/>
        </w:rPr>
      </w:pPr>
      <w:r>
        <w:rPr>
          <w:b/>
          <w:bCs/>
        </w:rPr>
        <w:t>Partie I : Modélisation des problèmes sous forme des PLs</w:t>
        <w:tab/>
      </w:r>
    </w:p>
    <w:p>
      <w:pPr>
        <w:pStyle w:val="Normal"/>
        <w:spacing w:lineRule="auto" w:line="276"/>
        <w:ind w:hanging="0"/>
        <w:rPr/>
      </w:pPr>
      <w:r>
        <w:rPr>
          <w:b/>
          <w:bCs/>
        </w:rPr>
        <w:t xml:space="preserve">Exercice 1. </w:t>
      </w:r>
      <w:r>
        <w:rPr/>
        <w:t xml:space="preserve"> Une entreprise fabrique deux produits A et B à l’aide de deux matières premières M</w:t>
      </w:r>
      <w:r>
        <w:rPr>
          <w:vertAlign w:val="subscript"/>
        </w:rPr>
        <w:t>1</w:t>
      </w:r>
      <w:r>
        <w:rPr/>
        <w:t xml:space="preserve"> et M</w:t>
      </w:r>
      <w:r>
        <w:rPr>
          <w:vertAlign w:val="subscript"/>
        </w:rPr>
        <w:t>2</w:t>
      </w:r>
      <w:r>
        <w:rPr/>
        <w:t>. Elle dispose de 50 unités de M</w:t>
      </w:r>
      <w:r>
        <w:rPr>
          <w:vertAlign w:val="subscript"/>
        </w:rPr>
        <w:t>1</w:t>
      </w:r>
      <w:r>
        <w:rPr/>
        <w:t xml:space="preserve"> et 60 unités de M</w:t>
      </w:r>
      <w:r>
        <w:rPr>
          <w:vertAlign w:val="subscript"/>
        </w:rPr>
        <w:t>2</w:t>
      </w:r>
      <w:r>
        <w:rPr/>
        <w:t>. Pour produire une unité de A, on utilise 10 unités de M</w:t>
      </w:r>
      <w:r>
        <w:rPr>
          <w:vertAlign w:val="subscript"/>
        </w:rPr>
        <w:t>1</w:t>
      </w:r>
      <w:r>
        <w:rPr/>
        <w:t xml:space="preserve"> et 12 unités de M</w:t>
      </w:r>
      <w:r>
        <w:rPr>
          <w:vertAlign w:val="subscript"/>
        </w:rPr>
        <w:t>2</w:t>
      </w:r>
      <w:r>
        <w:rPr/>
        <w:t>, pour produire une unité de B, on utilise 20 unités de M1 et 16 unités de M</w:t>
      </w:r>
      <w:r>
        <w:rPr>
          <w:vertAlign w:val="subscript"/>
        </w:rPr>
        <w:t>2</w:t>
      </w:r>
      <w:r>
        <w:rPr/>
        <w:t>. Le profit tiré de la vente d’une unité de A est estimé à 4000 DA celui de B est estimé à 4500 DA.  On s’intéresse au programme de production de cette entreprise qui donnera le profit maximum. On demande d’exprimer ce problème en tant que PL.</w:t>
      </w:r>
    </w:p>
    <w:p>
      <w:pPr>
        <w:pStyle w:val="Normal"/>
        <w:tabs>
          <w:tab w:val="clear" w:pos="708"/>
          <w:tab w:val="left" w:pos="7965" w:leader="none"/>
        </w:tabs>
        <w:spacing w:lineRule="auto" w:line="360"/>
        <w:ind w:hanging="0"/>
        <w:rPr>
          <w:rFonts w:asciiTheme="majorBidi" w:hAnsiTheme="majorBidi"/>
        </w:rPr>
      </w:pPr>
      <w:r>
        <w:rPr>
          <w:rFonts w:eastAsia="Times New Roman" w:cs="" w:cstheme="majorBidi"/>
          <w:b/>
          <w:bCs/>
          <w:color w:val="auto"/>
          <w:kern w:val="0"/>
          <w:sz w:val="24"/>
          <w:szCs w:val="24"/>
          <w:lang w:val="fr-FR" w:eastAsia="fr-FR" w:bidi="ar-SA"/>
        </w:rPr>
        <w:t>Exercice 2</w:t>
      </w:r>
      <w:r>
        <w:rPr>
          <w:rFonts w:asciiTheme="majorBidi" w:hAnsiTheme="majorBidi"/>
        </w:rPr>
        <w:t xml:space="preserve">. </w:t>
      </w:r>
      <w:r>
        <w:rPr>
          <w:rFonts w:cs="" w:cstheme="majorBidi"/>
        </w:rPr>
        <w:t>Un appareil peut être fabriqué à l’aide de 3 processus techniques de production : T</w:t>
      </w:r>
      <w:r>
        <w:rPr>
          <w:rFonts w:cs="" w:cstheme="majorBidi"/>
          <w:vertAlign w:val="subscript"/>
        </w:rPr>
        <w:t>1</w:t>
      </w:r>
      <w:r>
        <w:rPr>
          <w:rFonts w:cs="" w:cstheme="majorBidi"/>
        </w:rPr>
        <w:t>, T</w:t>
      </w:r>
      <w:r>
        <w:rPr>
          <w:rFonts w:cs="" w:cstheme="majorBidi"/>
          <w:vertAlign w:val="subscript"/>
        </w:rPr>
        <w:t>2</w:t>
      </w:r>
      <w:r>
        <w:rPr>
          <w:rFonts w:cs="" w:cstheme="majorBidi"/>
        </w:rPr>
        <w:t xml:space="preserve"> et T</w:t>
      </w:r>
      <w:r>
        <w:rPr>
          <w:rFonts w:cs="" w:cstheme="majorBidi"/>
          <w:vertAlign w:val="subscript"/>
        </w:rPr>
        <w:t>3</w:t>
      </w:r>
      <w:r>
        <w:rPr>
          <w:rFonts w:cs="" w:cstheme="majorBidi"/>
        </w:rPr>
        <w:t xml:space="preserve">. Ces processus consomment chacun 4 ressources : E (énergies), MP (matière première), L (main d’ouvre), et K (machine). Les consommations par processus, les ressources disponibles et le prix de revient des pièces sont donnés dans le tableau suivant. L’appareil sera vendu 2800DA. Trouver la quantité d’appareil à produire  </w:t>
      </w:r>
      <w:r>
        <w:rPr>
          <w:rFonts w:cs="" w:cstheme="majorBidi"/>
        </w:rPr>
        <w:t xml:space="preserve">par chacun des processus </w:t>
      </w:r>
      <w:r>
        <w:rPr>
          <w:rFonts w:cs="" w:cstheme="majorBidi"/>
        </w:rPr>
        <w:t>afin de maximiser le profit.</w:t>
      </w:r>
    </w:p>
    <w:tbl>
      <w:tblPr>
        <w:tblW w:w="8931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6"/>
        <w:gridCol w:w="1306"/>
        <w:gridCol w:w="1123"/>
        <w:gridCol w:w="1155"/>
        <w:gridCol w:w="1815"/>
        <w:gridCol w:w="2475"/>
      </w:tblGrid>
      <w:tr>
        <w:trPr>
          <w:trHeight w:val="570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Prix de revient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1700 DA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1600 DA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1900 DA</w:t>
            </w:r>
          </w:p>
        </w:tc>
      </w:tr>
      <w:tr>
        <w:trPr>
          <w:trHeight w:val="1050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capacité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86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156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  <w:t>138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40" w:after="240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ind w:hanging="0"/>
        <w:rPr>
          <w:b/>
          <w:b/>
          <w:bCs/>
        </w:rPr>
      </w:pPr>
      <w:r>
        <w:rPr/>
      </w:r>
    </w:p>
    <w:p>
      <w:pPr>
        <w:pStyle w:val="Normal"/>
        <w:spacing w:lineRule="auto" w:line="276"/>
        <w:ind w:hanging="0"/>
        <w:rPr/>
      </w:pPr>
      <w:r>
        <w:rPr>
          <w:b/>
          <w:bCs/>
        </w:rPr>
        <w:t xml:space="preserve">Exercice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fr-FR" w:eastAsia="fr-FR" w:bidi="ar-SA"/>
        </w:rPr>
        <w:t>3.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Une entreprise fabrique 3 produits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>P</w:t>
      </w:r>
      <w:r>
        <w:rPr>
          <w:rFonts w:eastAsia="Times New Roman" w:cs="Times New Roman"/>
          <w:color w:val="auto"/>
          <w:kern w:val="0"/>
          <w:sz w:val="24"/>
          <w:szCs w:val="24"/>
          <w:vertAlign w:val="subscript"/>
          <w:lang w:val="fr-FR" w:eastAsia="fr-FR" w:bidi="ar-SA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>P</w:t>
      </w:r>
      <w:r>
        <w:rPr>
          <w:rFonts w:eastAsia="Times New Roman" w:cs="Times New Roman"/>
          <w:color w:val="auto"/>
          <w:kern w:val="0"/>
          <w:sz w:val="24"/>
          <w:szCs w:val="24"/>
          <w:vertAlign w:val="subscript"/>
          <w:lang w:val="fr-FR" w:eastAsia="fr-FR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 et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>P</w:t>
      </w:r>
      <w:r>
        <w:rPr>
          <w:rFonts w:eastAsia="Times New Roman" w:cs="Times New Roman"/>
          <w:color w:val="auto"/>
          <w:kern w:val="0"/>
          <w:sz w:val="24"/>
          <w:szCs w:val="24"/>
          <w:vertAlign w:val="subscript"/>
          <w:lang w:val="fr-FR" w:eastAsia="fr-FR" w:bidi="ar-SA"/>
        </w:rPr>
        <w:t>3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, qui sont  vendu respectivement 140 DA, 150 Da et  220 DA l'unité.  Pour la fabrication de ces produits, on utilise quatre matières premières. Les prix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et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 les unités de matières premières nécessaires pour chaque type de produit, ansi que les  quantités disponibles correspondantes sont  donnés dans le tableau suivant.</w:t>
      </w:r>
    </w:p>
    <w:p>
      <w:pPr>
        <w:pStyle w:val="Normal"/>
        <w:spacing w:lineRule="auto" w:line="276"/>
        <w:ind w:hanging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fr-FR" w:eastAsia="fr-FR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</w:r>
    </w:p>
    <w:tbl>
      <w:tblPr>
        <w:tblW w:w="9310" w:type="dxa"/>
        <w:jc w:val="left"/>
        <w:tblInd w:w="183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884"/>
        <w:gridCol w:w="1356"/>
        <w:gridCol w:w="1172"/>
        <w:gridCol w:w="1120"/>
        <w:gridCol w:w="1270"/>
        <w:gridCol w:w="2507"/>
      </w:tblGrid>
      <w:tr>
        <w:trPr>
          <w:trHeight w:val="555" w:hRule="atLeas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ind w:hanging="0"/>
              <w:jc w:val="left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Matières </w:t>
            </w:r>
          </w:p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ind w:hanging="0"/>
              <w:jc w:val="left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premières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ind w:hanging="0"/>
              <w:jc w:val="left"/>
              <w:rPr>
                <w:rFonts w:asciiTheme="majorBidi" w:hAnsiTheme="majorBidi"/>
              </w:rPr>
            </w:pPr>
            <w:r>
              <w:rPr/>
              <w:t>Prix unitaire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</w:t>
            </w:r>
            <w:r>
              <w:rPr>
                <w:rFonts w:asciiTheme="majorBidi" w:hAnsiTheme="majorBidi"/>
                <w:vertAlign w:val="subscript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</w:t>
            </w:r>
            <w:r>
              <w:rPr>
                <w:rFonts w:asciiTheme="majorBidi" w:hAnsiTheme="majorBidi"/>
                <w:vertAlign w:val="subscript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</w:t>
            </w:r>
            <w:r>
              <w:rPr>
                <w:rFonts w:asciiTheme="majorBidi" w:hAnsiTheme="majorBidi"/>
                <w:vertAlign w:val="subscript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ind w:hanging="0"/>
              <w:jc w:val="left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Quantité  matières premières disponibles</w:t>
            </w:r>
          </w:p>
        </w:tc>
      </w:tr>
      <w:tr>
        <w:trPr>
          <w:trHeight w:val="465" w:hRule="atLeas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</w:t>
            </w:r>
            <w:r>
              <w:rPr>
                <w:rFonts w:asciiTheme="majorBidi" w:hAnsiTheme="majorBidi"/>
                <w:vertAlign w:val="subscript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</w:t>
            </w:r>
            <w:r>
              <w:rPr>
                <w:rFonts w:asciiTheme="majorBidi" w:hAnsiTheme="majorBidi"/>
                <w:vertAlign w:val="subscript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2</w:t>
            </w:r>
            <w:r>
              <w:rPr>
                <w:rFonts w:asciiTheme="majorBidi" w:hAnsiTheme="majorBidi"/>
              </w:rPr>
              <w:t>00</w:t>
            </w:r>
          </w:p>
        </w:tc>
      </w:tr>
      <w:tr>
        <w:trPr>
          <w:trHeight w:val="495" w:hRule="atLeas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</w:t>
            </w:r>
            <w:r>
              <w:rPr>
                <w:rFonts w:asciiTheme="majorBidi" w:hAnsiTheme="majorBidi"/>
                <w:vertAlign w:val="subscript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/>
            </w:pPr>
            <w:r>
              <w:rPr/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200</w:t>
            </w:r>
          </w:p>
        </w:tc>
      </w:tr>
      <w:tr>
        <w:trPr>
          <w:trHeight w:val="492" w:hRule="atLeast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</w:t>
            </w:r>
            <w:r>
              <w:rPr>
                <w:rFonts w:asciiTheme="majorBidi" w:hAnsiTheme="majorBidi"/>
                <w:vertAlign w:val="subscript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/>
            </w:pPr>
            <w:r>
              <w:rPr/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65" w:leader="none"/>
              </w:tabs>
              <w:spacing w:lineRule="auto" w:line="276" w:before="240" w:after="240"/>
              <w:rPr>
                <w:rFonts w:asciiTheme="majorBidi" w:hAnsiTheme="majorBidi"/>
              </w:rPr>
            </w:pPr>
            <w:r>
              <w:rPr/>
              <w:t>100</w:t>
            </w:r>
          </w:p>
        </w:tc>
      </w:tr>
    </w:tbl>
    <w:p>
      <w:pPr>
        <w:pStyle w:val="Normal"/>
        <w:tabs>
          <w:tab w:val="clear" w:pos="708"/>
          <w:tab w:val="left" w:pos="7965" w:leader="none"/>
        </w:tabs>
        <w:spacing w:lineRule="auto" w:line="276"/>
        <w:ind w:hanging="0"/>
        <w:jc w:val="left"/>
        <w:rPr/>
      </w:pPr>
      <w:r>
        <w:rPr>
          <w:rFonts w:eastAsia="Times New Roman" w:cs="" w:cstheme="majorBidi"/>
          <w:color w:val="auto"/>
          <w:kern w:val="0"/>
          <w:sz w:val="24"/>
          <w:szCs w:val="24"/>
          <w:lang w:val="fr-FR" w:eastAsia="fr-FR" w:bidi="ar-SA"/>
        </w:rPr>
        <w:t>L'objectif de l'entreprise est de déterminer les quantités de chaque produit qui doivent être fabriquées pour  réaliser  le profit maximum.</w:t>
        <w:br/>
      </w:r>
      <w:r>
        <w:rPr>
          <w:rFonts w:eastAsia="Times New Roman" w:cs="" w:cstheme="majorBidi"/>
          <w:b w:val="false"/>
          <w:bCs w:val="false"/>
          <w:color w:val="auto"/>
          <w:kern w:val="0"/>
          <w:sz w:val="24"/>
          <w:szCs w:val="24"/>
          <w:lang w:val="fr-FR" w:eastAsia="fr-FR" w:bidi="ar-SA"/>
        </w:rPr>
        <w:t>Définir   les variables de décision et la fonction objective, ains que toutes les contraintes du problème.</w:t>
      </w:r>
    </w:p>
    <w:p>
      <w:pPr>
        <w:pStyle w:val="Normal"/>
        <w:tabs>
          <w:tab w:val="clear" w:pos="708"/>
          <w:tab w:val="left" w:pos="7965" w:leader="none"/>
        </w:tabs>
        <w:spacing w:lineRule="auto" w:line="276"/>
        <w:ind w:hanging="0"/>
        <w:jc w:val="left"/>
        <w:rPr/>
      </w:pPr>
      <w:r>
        <w:rPr>
          <w:b/>
          <w:bCs/>
        </w:rPr>
        <w:t>Partie II (Résolution graphique d’un PL)</w:t>
      </w:r>
    </w:p>
    <w:p>
      <w:pPr>
        <w:pStyle w:val="Normal"/>
        <w:spacing w:lineRule="auto" w:line="276"/>
        <w:ind w:hanging="0"/>
        <w:rPr/>
      </w:pPr>
      <w:r>
        <w:rPr>
          <w:b/>
          <w:bCs/>
        </w:rPr>
        <w:t xml:space="preserve">Exercice 1. </w:t>
      </w:r>
      <w:r>
        <w:rPr/>
        <w:t>Résoudre le PL de l’exercice 1 à l’aide de la méthode graphique.</w:t>
      </w:r>
    </w:p>
    <w:p>
      <w:pPr>
        <w:pStyle w:val="Normal"/>
        <w:spacing w:lineRule="auto" w:line="276"/>
        <w:ind w:hanging="0"/>
        <w:rPr/>
      </w:pPr>
      <w:r>
        <w:rPr>
          <w:rFonts w:cs="" w:cstheme="majorBidi"/>
          <w:b/>
          <w:bCs/>
        </w:rPr>
        <w:t xml:space="preserve">Exercice 2. </w:t>
      </w:r>
      <w:r>
        <w:rPr>
          <w:rFonts w:cs="" w:cstheme="majorBidi"/>
        </w:rPr>
        <w:t>Déterminer à l’aide de la méthode graphique la solution du PL suivant.</w:t>
      </w:r>
    </w:p>
    <w:p>
      <w:pPr>
        <w:pStyle w:val="Normal"/>
        <w:spacing w:lineRule="auto" w:line="276"/>
        <w:ind w:firstLine="708"/>
        <w:jc w:val="left"/>
        <w:rPr>
          <w:rFonts w:cs="" w:asciiTheme="majorBidi" w:cstheme="majorBidi" w:hAnsiTheme="majorBidi"/>
        </w:rPr>
      </w:pPr>
      <w:r>
        <w:rPr>
          <w:rFonts w:cs="" w:cstheme="majorBidi"/>
        </w:rPr>
        <w:t>Min/max z= 3x+5y</w:t>
        <w:br/>
        <w:tab/>
      </w:r>
      <w:r>
        <w:rPr/>
      </w:r>
      <m:oMath xmlns:m="http://schemas.openxmlformats.org/officeDocument/2006/math">
        <m:d>
          <m:dPr>
            <m:begChr m:val="{"/>
            <m:endChr m:val=""/>
          </m:dPr>
          <m:e>
            <m:eqAr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w:rPr>
                    <w:rFonts w:ascii="Cambria Math" w:hAnsi="Cambria Math"/>
                  </w:rPr>
                  <m:t xml:space="preserve">6</m:t>
                </m:r>
              </m:e>
              <m:e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8</m:t>
                </m:r>
              </m:e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0</m:t>
                </m:r>
              </m:e>
            </m:eqArr>
          </m:e>
        </m:d>
      </m:oMath>
    </w:p>
    <w:p>
      <w:pPr>
        <w:pStyle w:val="Normal"/>
        <w:tabs>
          <w:tab w:val="clear" w:pos="708"/>
          <w:tab w:val="left" w:pos="3146" w:leader="none"/>
        </w:tabs>
        <w:spacing w:lineRule="auto" w:line="276"/>
        <w:ind w:hanging="0"/>
        <w:rPr/>
      </w:pPr>
      <w:r>
        <w:rPr>
          <w:b/>
          <w:bCs/>
        </w:rPr>
        <w:t>Exercice 3.</w:t>
      </w:r>
      <w:r>
        <w:rPr/>
        <w:t xml:space="preserve"> Résoudre avec la méthode graphique :</w:t>
      </w:r>
    </w:p>
    <w:p>
      <w:pPr>
        <w:pStyle w:val="Normal"/>
        <w:tabs>
          <w:tab w:val="clear" w:pos="708"/>
          <w:tab w:val="left" w:pos="3146" w:leader="none"/>
        </w:tabs>
        <w:spacing w:lineRule="auto" w:line="276"/>
        <w:jc w:val="left"/>
        <w:rPr/>
      </w:pPr>
      <w:r>
        <w:rPr/>
        <w:t>Max z =3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/>
        <w:t>+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ascii="Cambria Math" w:hAnsi="Cambria Math"/>
        </w:rPr>
        <w:br/>
      </w:r>
      <w:r>
        <w:rPr/>
      </w:r>
      <m:oMath xmlns:m="http://schemas.openxmlformats.org/officeDocument/2006/math">
        <m:d>
          <m:dPr>
            <m:begChr m:val="{"/>
            <m:endChr m:val=""/>
          </m:dPr>
          <m:e>
            <m:eqAr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≤</m:t>
                </m:r>
                <m:r>
                  <w:rPr>
                    <w:rFonts w:ascii="Cambria Math" w:hAnsi="Cambria Math"/>
                  </w:rPr>
                  <m:t xml:space="preserve">4</m:t>
                </m:r>
              </m:e>
              <m:e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≤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e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≤</m:t>
                </m:r>
                <m:r>
                  <w:rPr>
                    <w:rFonts w:ascii="Cambria Math" w:hAnsi="Cambria Math"/>
                  </w:rPr>
                  <m:t xml:space="preserve">2</m:t>
                </m:r>
              </m:e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0</m:t>
                </m:r>
              </m:e>
            </m:eqArr>
          </m:e>
        </m:d>
      </m:oMath>
    </w:p>
    <w:p>
      <w:pPr>
        <w:pStyle w:val="Normal"/>
        <w:spacing w:lineRule="auto" w:line="276" w:before="240" w:after="240"/>
        <w:ind w:hanging="0"/>
        <w:rPr>
          <w:b/>
          <w:b/>
          <w:bCs/>
        </w:rPr>
      </w:pPr>
      <w:r>
        <w:rPr>
          <w:b/>
          <w:bCs/>
        </w:rPr>
        <w:t xml:space="preserve">Exercice 4. </w:t>
      </w:r>
      <w:r>
        <w:rPr/>
        <w:t xml:space="preserve">Déterminer à l’aide de la méthode graphique la solution du PL suivant. </w:t>
      </w:r>
      <w:r>
        <w:rPr/>
      </w:r>
      <m:oMath xmlns:m="http://schemas.openxmlformats.org/officeDocument/2006/math">
        <m:d>
          <m:dPr>
            <m:begChr m:val="{"/>
            <m:endChr m:val=""/>
          </m:dPr>
          <m:e>
            <m:eqArr>
              <m:e>
                <m:r>
                  <w:rPr>
                    <w:rFonts w:ascii="Cambria Math" w:hAnsi="Cambria Math"/>
                  </w:rPr>
                  <m:t xml:space="preserve">10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8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100</m:t>
                </m:r>
              </m:e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3</m:t>
                </m:r>
              </m:e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≤</m:t>
                </m:r>
                <m:r>
                  <w:rPr>
                    <w:rFonts w:ascii="Cambria Math" w:hAnsi="Cambria Math"/>
                  </w:rPr>
                  <m:t xml:space="preserve">4</m:t>
                </m:r>
              </m:e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et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≥</m:t>
                </m:r>
                <m:r>
                  <w:rPr>
                    <w:rFonts w:ascii="Cambria Math" w:hAnsi="Cambria Math"/>
                  </w:rPr>
                  <m:t xml:space="preserve">0</m:t>
                </m:r>
              </m:e>
              <m:e>
                <m:r>
                  <w:rPr>
                    <w:rFonts w:ascii="Cambria Math" w:hAnsi="Cambria Math"/>
                  </w:rPr>
                  <m:t xml:space="preserve">Minz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10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20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e>
            </m:eqArr>
          </m:e>
        </m:d>
      </m:oMath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header="708" w:top="708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717464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240"/>
      <w:rPr/>
    </w:pPr>
    <w:r>
      <w:rPr>
        <w:rFonts w:cs="Times New Roman" w:ascii="Times New Roman" w:hAnsi="Times New Roman"/>
        <w:szCs w:val="24"/>
      </w:rPr>
      <w:t>Centre universitaire de Mila                                                        Année universitaire 2023/2024</w:t>
    </w:r>
  </w:p>
  <w:p>
    <w:pPr>
      <w:pStyle w:val="Standard"/>
      <w:spacing w:lineRule="auto" w:line="240"/>
      <w:rPr>
        <w:rFonts w:ascii="Times New Roman" w:hAnsi="Times New Roman" w:cs="Times New Roman"/>
        <w:szCs w:val="24"/>
      </w:rPr>
    </w:pPr>
    <w:r>
      <w:rPr>
        <w:rFonts w:cs="Times New Roman" w:ascii="Times New Roman" w:hAnsi="Times New Roman"/>
        <w:szCs w:val="24"/>
      </w:rPr>
      <w:t xml:space="preserve">Matière : Programmation linéaire                         </w:t>
    </w:r>
    <w:bookmarkStart w:id="0" w:name="_GoBack"/>
    <w:bookmarkEnd w:id="0"/>
    <w:r>
      <w:rPr>
        <w:rFonts w:cs="Times New Roman" w:ascii="Times New Roman" w:hAnsi="Times New Roman"/>
        <w:szCs w:val="24"/>
      </w:rPr>
      <w:t xml:space="preserve">                      3° Année informatique</w:t>
    </w:r>
  </w:p>
  <w:p>
    <w:pPr>
      <w:pStyle w:val="Standard"/>
      <w:spacing w:lineRule="auto" w:line="240"/>
      <w:rPr/>
    </w:pPr>
    <w:r>
      <w:rPr>
        <w:rFonts w:cs="Times New Roman" w:ascii="Times New Roman" w:hAnsi="Times New Roman"/>
        <w:szCs w:val="24"/>
      </w:rPr>
      <w:t xml:space="preserve">Série de TD N°1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021c"/>
    <w:pPr>
      <w:widowControl/>
      <w:suppressAutoHyphens w:val="true"/>
      <w:bidi w:val="0"/>
      <w:spacing w:before="240" w:after="24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31bb2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Footer"/>
    <w:uiPriority w:val="99"/>
    <w:qFormat/>
    <w:rsid w:val="00c31bb2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41c20"/>
    <w:rPr>
      <w:rFonts w:ascii="Tahoma" w:hAnsi="Tahoma" w:eastAsia="Times New Roman" w:cs="Tahoma"/>
      <w:sz w:val="16"/>
      <w:szCs w:val="16"/>
      <w:lang w:eastAsia="fr-FR"/>
    </w:rPr>
  </w:style>
  <w:style w:type="character" w:styleId="EntteCar1" w:customStyle="1">
    <w:name w:val="En-tête Car1"/>
    <w:basedOn w:val="DefaultParagraphFont"/>
    <w:link w:val="En-tte"/>
    <w:uiPriority w:val="99"/>
    <w:semiHidden/>
    <w:qFormat/>
    <w:rsid w:val="00044375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1" w:customStyle="1">
    <w:name w:val="Pied de page Car1"/>
    <w:basedOn w:val="DefaultParagraphFont"/>
    <w:link w:val="Pieddepage"/>
    <w:uiPriority w:val="99"/>
    <w:semiHidden/>
    <w:qFormat/>
    <w:rsid w:val="00044375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Heading" w:customStyle="1">
    <w:name w:val="Heading"/>
    <w:basedOn w:val="Normal"/>
    <w:next w:val="TextBody"/>
    <w:qFormat/>
    <w:rsid w:val="00835625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835625"/>
    <w:pPr>
      <w:spacing w:lineRule="auto" w:line="276" w:before="0" w:after="140"/>
    </w:pPr>
    <w:rPr/>
  </w:style>
  <w:style w:type="paragraph" w:styleId="List">
    <w:name w:val="List"/>
    <w:basedOn w:val="TextBody"/>
    <w:rsid w:val="00835625"/>
    <w:pPr/>
    <w:rPr>
      <w:rFonts w:cs="Lohit Devanagari"/>
    </w:rPr>
  </w:style>
  <w:style w:type="paragraph" w:styleId="Caption" w:customStyle="1">
    <w:name w:val="Caption"/>
    <w:basedOn w:val="Normal"/>
    <w:qFormat/>
    <w:rsid w:val="00835625"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Normal"/>
    <w:qFormat/>
    <w:rsid w:val="00835625"/>
    <w:pPr>
      <w:suppressLineNumbers/>
    </w:pPr>
    <w:rPr>
      <w:rFonts w:cs="Lohit Devanagari"/>
    </w:rPr>
  </w:style>
  <w:style w:type="paragraph" w:styleId="HeaderandFooter" w:customStyle="1">
    <w:name w:val="Header and Footer"/>
    <w:basedOn w:val="Normal"/>
    <w:qFormat/>
    <w:rsid w:val="00835625"/>
    <w:pPr/>
    <w:rPr/>
  </w:style>
  <w:style w:type="paragraph" w:styleId="Header">
    <w:name w:val="Header"/>
    <w:basedOn w:val="Normal"/>
    <w:link w:val="En-tteCar1"/>
    <w:uiPriority w:val="99"/>
    <w:semiHidden/>
    <w:unhideWhenUsed/>
    <w:rsid w:val="00044375"/>
    <w:pPr>
      <w:tabs>
        <w:tab w:val="clear" w:pos="708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PieddepageCar1"/>
    <w:uiPriority w:val="99"/>
    <w:semiHidden/>
    <w:unhideWhenUsed/>
    <w:rsid w:val="00044375"/>
    <w:pPr>
      <w:tabs>
        <w:tab w:val="clear" w:pos="708"/>
        <w:tab w:val="center" w:pos="4680" w:leader="none"/>
        <w:tab w:val="right" w:pos="9360" w:leader="none"/>
      </w:tabs>
      <w:spacing w:before="0" w:after="0"/>
    </w:pPr>
    <w:rPr/>
  </w:style>
  <w:style w:type="paragraph" w:styleId="Standard" w:customStyle="1">
    <w:name w:val="Standard"/>
    <w:qFormat/>
    <w:rsid w:val="00c31bb2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41c20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LibreOffice/6.4.7.2$Linux_X86_64 LibreOffice_project/40$Build-2</Application>
  <Pages>2</Pages>
  <Words>444</Words>
  <Characters>2005</Characters>
  <CharactersWithSpaces>2495</CharactersWithSpaces>
  <Paragraphs>76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2021-01-04T17:37:00Z</dcterms:created>
  <dc:creator>Guettiche</dc:creator>
  <dc:description/>
  <dc:language>en-US</dc:language>
  <cp:lastModifiedBy/>
  <dcterms:modified xsi:type="dcterms:W3CDTF">2023-09-30T17:32:20Z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