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sz w:val="28"/>
          <w:szCs w:val="28"/>
        </w:rPr>
      </w:pPr>
      <w:r>
        <w:rPr>
          <w:rFonts w:ascii="Times New Roman" w:cs="Times New Roman" w:eastAsia="Calibri" w:hAnsi="Times New Roman"/>
          <w:b/>
          <w:bCs/>
          <w:sz w:val="28"/>
          <w:szCs w:val="28"/>
        </w:rPr>
        <w:t>C</w:t>
      </w:r>
      <w:r>
        <w:rPr>
          <w:rFonts w:cs="Times New Roman" w:eastAsia="Calibri" w:hAnsi="Times New Roman"/>
          <w:b/>
          <w:bCs/>
          <w:sz w:val="28"/>
          <w:szCs w:val="28"/>
          <w:lang w:val="en-US"/>
        </w:rPr>
        <w:t xml:space="preserve">ours numéro </w:t>
      </w:r>
      <w:r>
        <w:rPr>
          <w:rFonts w:cs="Times New Roman" w:eastAsia="Calibri" w:hAnsi="Times New Roman"/>
          <w:b/>
          <w:bCs/>
          <w:sz w:val="28"/>
          <w:szCs w:val="28"/>
          <w:lang w:val="en-US"/>
        </w:rPr>
        <w:t xml:space="preserve">09                                                                                         </w:t>
      </w:r>
      <w:r>
        <w:rPr>
          <w:rFonts w:cs="Times New Roman" w:eastAsia="Calibri" w:hAnsi="Times New Roman"/>
          <w:b/>
          <w:bCs/>
          <w:sz w:val="28"/>
          <w:szCs w:val="28"/>
          <w:lang w:val="en-US"/>
        </w:rPr>
        <w:t>DROIT</w:t>
      </w:r>
      <w:r>
        <w:rPr>
          <w:rFonts w:ascii="Times New Roman" w:cs="Times New Roman" w:hAnsi="Times New Roman"/>
          <w:b/>
          <w:bCs/>
          <w:sz w:val="28"/>
          <w:szCs w:val="28"/>
          <w:u w:val="single"/>
        </w:rPr>
        <w:t xml:space="preserve"> </w:t>
      </w:r>
      <w:r>
        <w:rPr>
          <w:rFonts w:ascii="Times New Roman" w:cs="Times New Roman" w:hAnsi="Times New Roman"/>
          <w:b/>
          <w:bCs/>
          <w:sz w:val="28"/>
          <w:szCs w:val="28"/>
          <w:u w:val="single"/>
        </w:rPr>
        <w:t>I</w:t>
      </w:r>
      <w:r>
        <w:rPr>
          <w:rFonts w:ascii="Times New Roman" w:cs="Times New Roman" w:hAnsi="Times New Roman"/>
          <w:b/>
          <w:bCs/>
          <w:sz w:val="28"/>
          <w:szCs w:val="28"/>
          <w:u w:val="single"/>
        </w:rPr>
        <w:t>NTERNATIONAL DE</w:t>
      </w:r>
      <w:r>
        <w:rPr>
          <w:rFonts w:ascii="Times New Roman" w:cs="Times New Roman" w:hAnsi="Times New Roman"/>
          <w:b/>
          <w:bCs/>
          <w:sz w:val="28"/>
          <w:szCs w:val="28"/>
          <w:u w:val="single"/>
        </w:rPr>
        <w:t xml:space="preserve"> </w:t>
      </w:r>
      <w:r>
        <w:rPr>
          <w:rFonts w:ascii="Times New Roman" w:cs="Times New Roman" w:hAnsi="Times New Roman"/>
          <w:b/>
          <w:bCs/>
          <w:sz w:val="28"/>
          <w:szCs w:val="28"/>
          <w:u w:val="single"/>
        </w:rPr>
        <w:t>L</w:t>
      </w:r>
      <w:r>
        <w:rPr>
          <w:rFonts w:ascii="Times New Roman" w:cs="Times New Roman" w:hAnsi="Times New Roman"/>
          <w:b/>
          <w:bCs/>
          <w:sz w:val="28"/>
          <w:szCs w:val="28"/>
          <w:u w:val="single"/>
        </w:rPr>
        <w:t>’E</w:t>
      </w:r>
      <w:r>
        <w:rPr>
          <w:rFonts w:ascii="Times New Roman" w:cs="Times New Roman" w:hAnsi="Times New Roman"/>
          <w:b/>
          <w:bCs/>
          <w:sz w:val="28"/>
          <w:szCs w:val="28"/>
          <w:u w:val="single"/>
        </w:rPr>
        <w:t>NVIRONNEMMENT</w:t>
      </w:r>
    </w:p>
    <w:p>
      <w:pPr>
        <w:pStyle w:val="style0"/>
        <w:ind w:firstLine="567"/>
        <w:jc w:val="both"/>
        <w:rPr>
          <w:rFonts w:ascii="Times New Roman" w:cs="Times New Roman" w:hAnsi="Times New Roman"/>
          <w:sz w:val="24"/>
          <w:szCs w:val="24"/>
        </w:rPr>
      </w:pPr>
      <w:r>
        <w:rPr>
          <w:rFonts w:ascii="Times New Roman" w:cs="Times New Roman" w:hAnsi="Times New Roman"/>
          <w:color w:val="202122"/>
          <w:sz w:val="24"/>
          <w:szCs w:val="24"/>
          <w:shd w:val="clear" w:color="auto" w:fill="ffffff"/>
        </w:rPr>
        <w:t>Le </w:t>
      </w:r>
      <w:r>
        <w:rPr>
          <w:rFonts w:ascii="Times New Roman" w:cs="Times New Roman" w:hAnsi="Times New Roman"/>
          <w:b/>
          <w:bCs/>
          <w:color w:val="202122"/>
          <w:sz w:val="24"/>
          <w:szCs w:val="24"/>
          <w:shd w:val="clear" w:color="auto" w:fill="ffffff"/>
        </w:rPr>
        <w:t xml:space="preserve">droit </w:t>
      </w:r>
      <w:r>
        <w:rPr>
          <w:rFonts w:ascii="Times New Roman" w:cs="Times New Roman" w:hAnsi="Times New Roman"/>
          <w:b/>
          <w:bCs/>
          <w:color w:val="202122"/>
          <w:sz w:val="24"/>
          <w:szCs w:val="24"/>
          <w:shd w:val="clear" w:color="auto" w:fill="ffffff"/>
        </w:rPr>
        <w:t xml:space="preserve">international </w:t>
      </w:r>
      <w:r>
        <w:rPr>
          <w:rFonts w:ascii="Times New Roman" w:cs="Times New Roman" w:hAnsi="Times New Roman"/>
          <w:b/>
          <w:bCs/>
          <w:color w:val="202122"/>
          <w:sz w:val="24"/>
          <w:szCs w:val="24"/>
          <w:shd w:val="clear" w:color="auto" w:fill="ffffff"/>
        </w:rPr>
        <w:t>de l'environnement</w:t>
      </w:r>
      <w:r>
        <w:rPr>
          <w:rFonts w:ascii="Times New Roman" w:cs="Times New Roman" w:hAnsi="Times New Roman"/>
          <w:color w:val="202122"/>
          <w:sz w:val="24"/>
          <w:szCs w:val="24"/>
          <w:shd w:val="clear" w:color="auto" w:fill="ffffff"/>
        </w:rPr>
        <w:t> </w:t>
      </w:r>
      <w:r>
        <w:rPr>
          <w:rFonts w:ascii="Times New Roman" w:cs="Times New Roman" w:hAnsi="Times New Roman"/>
          <w:color w:val="202122"/>
          <w:sz w:val="24"/>
          <w:szCs w:val="24"/>
          <w:shd w:val="clear" w:color="auto" w:fill="ffffff"/>
        </w:rPr>
        <w:t>est</w:t>
      </w:r>
      <w:r>
        <w:rPr>
          <w:rFonts w:ascii="Times New Roman" w:cs="Times New Roman" w:hAnsi="Times New Roman"/>
          <w:color w:val="202122"/>
          <w:sz w:val="24"/>
          <w:szCs w:val="24"/>
          <w:shd w:val="clear" w:color="auto" w:fill="ffffff"/>
        </w:rPr>
        <w:t xml:space="preserve"> </w:t>
      </w:r>
      <w:r>
        <w:rPr>
          <w:rFonts w:ascii="Times New Roman" w:cs="Times New Roman" w:hAnsi="Times New Roman"/>
          <w:color w:val="222222"/>
          <w:sz w:val="24"/>
          <w:szCs w:val="24"/>
          <w:shd w:val="clear" w:color="auto" w:fill="ffffff"/>
        </w:rPr>
        <w:t>relativement récent</w:t>
      </w:r>
      <w:r>
        <w:rPr>
          <w:rFonts w:ascii="Times New Roman" w:cs="Times New Roman" w:hAnsi="Times New Roman"/>
          <w:color w:val="202122"/>
          <w:sz w:val="24"/>
          <w:szCs w:val="24"/>
          <w:shd w:val="clear" w:color="auto" w:fill="ffffff"/>
        </w:rPr>
        <w:t xml:space="preserve"> et en </w:t>
      </w:r>
      <w:r>
        <w:rPr>
          <w:rFonts w:ascii="Times New Roman" w:cs="Times New Roman" w:hAnsi="Times New Roman"/>
          <w:color w:val="222222"/>
          <w:sz w:val="24"/>
          <w:szCs w:val="24"/>
          <w:shd w:val="clear" w:color="auto" w:fill="ffffff"/>
        </w:rPr>
        <w:t>plein expansion</w:t>
      </w:r>
      <w:r>
        <w:rPr>
          <w:rFonts w:ascii="Times New Roman" w:cs="Times New Roman" w:hAnsi="Times New Roman"/>
          <w:color w:val="222222"/>
          <w:sz w:val="24"/>
          <w:szCs w:val="24"/>
          <w:shd w:val="clear" w:color="auto" w:fill="ffffff"/>
        </w:rPr>
        <w:t xml:space="preserve">, </w:t>
      </w:r>
      <w:r>
        <w:rPr>
          <w:rFonts w:ascii="Times New Roman" w:cs="Times New Roman" w:hAnsi="Times New Roman"/>
          <w:color w:val="222222"/>
          <w:sz w:val="24"/>
          <w:szCs w:val="24"/>
          <w:shd w:val="clear" w:color="auto" w:fill="ffffff"/>
        </w:rPr>
        <w:t>puisqu’</w:t>
      </w:r>
      <w:r>
        <w:rPr>
          <w:rFonts w:ascii="Times New Roman" w:cs="Times New Roman" w:hAnsi="Times New Roman"/>
          <w:color w:val="222222"/>
          <w:sz w:val="24"/>
          <w:szCs w:val="24"/>
          <w:shd w:val="clear" w:color="auto" w:fill="ffffff"/>
        </w:rPr>
        <w:t xml:space="preserve">il </w:t>
      </w:r>
      <w:r>
        <w:rPr>
          <w:rFonts w:ascii="Times New Roman" w:cs="Times New Roman" w:hAnsi="Times New Roman"/>
          <w:color w:val="222222"/>
          <w:sz w:val="24"/>
          <w:szCs w:val="24"/>
          <w:shd w:val="clear" w:color="auto" w:fill="ffffff"/>
        </w:rPr>
        <w:t>fût</w:t>
      </w:r>
      <w:r>
        <w:rPr>
          <w:rFonts w:ascii="Times New Roman" w:cs="Times New Roman" w:hAnsi="Times New Roman"/>
          <w:color w:val="222222"/>
          <w:sz w:val="24"/>
          <w:szCs w:val="24"/>
          <w:shd w:val="clear" w:color="auto" w:fill="ffffff"/>
        </w:rPr>
        <w:t xml:space="preserve"> développ</w:t>
      </w:r>
      <w:r>
        <w:rPr>
          <w:rFonts w:ascii="Times New Roman" w:cs="Times New Roman" w:hAnsi="Times New Roman"/>
          <w:color w:val="222222"/>
          <w:sz w:val="24"/>
          <w:szCs w:val="24"/>
          <w:shd w:val="clear" w:color="auto" w:fill="ffffff"/>
        </w:rPr>
        <w:t>é</w:t>
      </w:r>
      <w:r>
        <w:rPr>
          <w:rFonts w:ascii="Times New Roman" w:cs="Times New Roman" w:hAnsi="Times New Roman"/>
          <w:color w:val="222222"/>
          <w:sz w:val="24"/>
          <w:szCs w:val="24"/>
          <w:shd w:val="clear" w:color="auto" w:fill="ffffff"/>
        </w:rPr>
        <w:t xml:space="preserve"> à partir des années 1970</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rPr>
        <w:t> </w:t>
      </w:r>
      <w:r>
        <w:rPr>
          <w:rFonts w:ascii="Times New Roman" w:cs="Times New Roman" w:hAnsi="Times New Roman"/>
          <w:sz w:val="24"/>
          <w:szCs w:val="24"/>
        </w:rPr>
        <w:t>Le droit </w:t>
      </w:r>
      <w:r>
        <w:rPr/>
        <w:fldChar w:fldCharType="begin"/>
      </w:r>
      <w:r>
        <w:instrText xml:space="preserve"> HYPERLINK "https://www.humanium.org/fr/regles-internationales-justice-des-enfants/" </w:instrText>
      </w:r>
      <w:r>
        <w:rPr/>
        <w:fldChar w:fldCharType="separate"/>
      </w:r>
      <w:r>
        <w:rPr>
          <w:rFonts w:ascii="Times New Roman" w:cs="Times New Roman" w:hAnsi="Times New Roman"/>
          <w:sz w:val="24"/>
          <w:szCs w:val="24"/>
        </w:rPr>
        <w:t>international</w:t>
      </w:r>
      <w:r>
        <w:rPr/>
        <w:fldChar w:fldCharType="end"/>
      </w:r>
      <w:r>
        <w:rPr>
          <w:rFonts w:ascii="Times New Roman" w:cs="Times New Roman" w:hAnsi="Times New Roman"/>
          <w:sz w:val="24"/>
          <w:szCs w:val="24"/>
        </w:rPr>
        <w:t> de l’environnement est une branche du droit international</w:t>
      </w:r>
      <w:r>
        <w:rPr>
          <w:rFonts w:ascii="Times New Roman" w:cs="Times New Roman" w:hAnsi="Times New Roman"/>
          <w:sz w:val="24"/>
          <w:szCs w:val="24"/>
        </w:rPr>
        <w:t xml:space="preserve"> public.</w:t>
      </w:r>
      <w:r>
        <w:rPr>
          <w:rFonts w:ascii="Times New Roman" w:cs="Times New Roman" w:hAnsi="Times New Roman"/>
          <w:sz w:val="24"/>
          <w:szCs w:val="24"/>
        </w:rPr>
        <w:t xml:space="preserve"> </w:t>
      </w:r>
      <w:r>
        <w:rPr>
          <w:rFonts w:ascii="Times New Roman" w:cs="Times New Roman" w:hAnsi="Times New Roman"/>
          <w:sz w:val="24"/>
          <w:szCs w:val="24"/>
        </w:rPr>
        <w:t>S</w:t>
      </w:r>
      <w:bookmarkStart w:id="0" w:name="_GoBack"/>
      <w:bookmarkEnd w:id="0"/>
      <w:r>
        <w:rPr>
          <w:rFonts w:ascii="Times New Roman" w:cs="Times New Roman" w:hAnsi="Times New Roman"/>
          <w:sz w:val="24"/>
          <w:szCs w:val="24"/>
        </w:rPr>
        <w:t>es</w:t>
      </w:r>
      <w:r>
        <w:rPr>
          <w:rFonts w:ascii="Times New Roman" w:cs="Times New Roman" w:hAnsi="Times New Roman"/>
          <w:sz w:val="24"/>
          <w:szCs w:val="24"/>
        </w:rPr>
        <w:t xml:space="preserve"> deux principaux objectifs concernent la </w:t>
      </w:r>
      <w:r>
        <w:rPr/>
        <w:fldChar w:fldCharType="begin"/>
      </w:r>
      <w:r>
        <w:instrText xml:space="preserve"> HYPERLINK "https://www.humanium.org/fr/droit-a-la-protection/" </w:instrText>
      </w:r>
      <w:r>
        <w:rPr/>
        <w:fldChar w:fldCharType="separate"/>
      </w:r>
      <w:r>
        <w:rPr>
          <w:rFonts w:ascii="Times New Roman" w:cs="Times New Roman" w:hAnsi="Times New Roman"/>
          <w:sz w:val="24"/>
          <w:szCs w:val="24"/>
        </w:rPr>
        <w:t>protection</w:t>
      </w:r>
      <w:r>
        <w:rPr/>
        <w:fldChar w:fldCharType="end"/>
      </w:r>
      <w:r>
        <w:rPr>
          <w:rFonts w:ascii="Times New Roman" w:cs="Times New Roman" w:hAnsi="Times New Roman"/>
          <w:sz w:val="24"/>
          <w:szCs w:val="24"/>
        </w:rPr>
        <w:t> de l’environnement et des êtres humains.</w:t>
      </w:r>
      <w:r>
        <w:rPr>
          <w:rFonts w:ascii="Times New Roman" w:cs="Times New Roman" w:hAnsi="Times New Roman"/>
          <w:sz w:val="24"/>
          <w:szCs w:val="24"/>
        </w:rPr>
        <w:t xml:space="preserve"> </w:t>
      </w:r>
    </w:p>
    <w:p>
      <w:pPr>
        <w:pStyle w:val="style0"/>
        <w:ind w:firstLine="567"/>
        <w:jc w:val="both"/>
        <w:rPr>
          <w:rFonts w:ascii="Times New Roman" w:cs="Times New Roman" w:hAnsi="Times New Roman"/>
          <w:sz w:val="24"/>
          <w:szCs w:val="24"/>
        </w:rPr>
      </w:pPr>
      <w:r>
        <w:rPr>
          <w:rFonts w:ascii="Times New Roman" w:cs="Times New Roman" w:hAnsi="Times New Roman"/>
          <w:sz w:val="24"/>
          <w:szCs w:val="24"/>
        </w:rPr>
        <w:t>De ces objectifs, nous tenons à donner une définition qui fait l’objet d’un consensus de la part de la doctrine</w:t>
      </w:r>
      <w:r>
        <w:rPr>
          <w:rFonts w:ascii="Times New Roman" w:cs="Times New Roman" w:hAnsi="Times New Roman"/>
          <w:sz w:val="24"/>
          <w:szCs w:val="24"/>
        </w:rPr>
        <w:t>,</w:t>
      </w:r>
      <w:r>
        <w:rPr>
          <w:rFonts w:ascii="Times New Roman" w:cs="Times New Roman" w:hAnsi="Times New Roman"/>
          <w:sz w:val="24"/>
          <w:szCs w:val="24"/>
        </w:rPr>
        <w:t xml:space="preserve"> que « </w:t>
      </w:r>
      <w:r>
        <w:rPr>
          <w:rFonts w:ascii="Times New Roman" w:cs="Times New Roman" w:hAnsi="Times New Roman"/>
          <w:i/>
          <w:iCs/>
          <w:sz w:val="24"/>
          <w:szCs w:val="24"/>
        </w:rPr>
        <w:t xml:space="preserve">le droit international de l’environnement est constitué de l’ensemble des </w:t>
      </w:r>
      <w:r>
        <w:rPr>
          <w:rFonts w:ascii="Times New Roman" w:cs="Times New Roman" w:hAnsi="Times New Roman"/>
          <w:i/>
          <w:iCs/>
          <w:sz w:val="24"/>
          <w:szCs w:val="24"/>
        </w:rPr>
        <w:t>règles</w:t>
      </w:r>
      <w:r>
        <w:rPr>
          <w:rFonts w:ascii="Times New Roman" w:cs="Times New Roman" w:hAnsi="Times New Roman"/>
          <w:i/>
          <w:iCs/>
          <w:sz w:val="24"/>
          <w:szCs w:val="24"/>
        </w:rPr>
        <w:t xml:space="preserve"> juridiques internationales </w:t>
      </w:r>
      <w:r>
        <w:rPr>
          <w:rFonts w:ascii="Times New Roman" w:cs="Times New Roman" w:hAnsi="Times New Roman"/>
          <w:i/>
          <w:iCs/>
          <w:sz w:val="24"/>
          <w:szCs w:val="24"/>
        </w:rPr>
        <w:t>nécessaires</w:t>
      </w:r>
      <w:r>
        <w:rPr>
          <w:rFonts w:ascii="Times New Roman" w:cs="Times New Roman" w:hAnsi="Times New Roman"/>
          <w:i/>
          <w:iCs/>
          <w:sz w:val="24"/>
          <w:szCs w:val="24"/>
        </w:rPr>
        <w:t xml:space="preserve"> à la protection de cet « espace », la biosphère (ou l’</w:t>
      </w:r>
      <w:r>
        <w:rPr>
          <w:rFonts w:ascii="Times New Roman" w:cs="Times New Roman" w:hAnsi="Times New Roman"/>
          <w:i/>
          <w:iCs/>
          <w:sz w:val="24"/>
          <w:szCs w:val="24"/>
        </w:rPr>
        <w:t>écosystème</w:t>
      </w:r>
      <w:r>
        <w:rPr>
          <w:rFonts w:ascii="Times New Roman" w:cs="Times New Roman" w:hAnsi="Times New Roman"/>
          <w:i/>
          <w:iCs/>
          <w:sz w:val="24"/>
          <w:szCs w:val="24"/>
        </w:rPr>
        <w:t xml:space="preserve"> global</w:t>
      </w:r>
      <w:r>
        <w:rPr>
          <w:rFonts w:ascii="Times New Roman" w:cs="Times New Roman" w:hAnsi="Times New Roman"/>
          <w:i/>
          <w:iCs/>
          <w:sz w:val="24"/>
          <w:szCs w:val="24"/>
        </w:rPr>
        <w:t>)</w:t>
      </w:r>
      <w:r>
        <w:rPr>
          <w:rFonts w:ascii="Times New Roman" w:cs="Times New Roman" w:hAnsi="Times New Roman"/>
          <w:sz w:val="24"/>
          <w:szCs w:val="24"/>
        </w:rPr>
        <w:t> ».</w:t>
      </w:r>
      <w:r>
        <w:rPr>
          <w:rFonts w:ascii="Times New Roman" w:cs="Times New Roman" w:hAnsi="Times New Roman" w:hint="cs"/>
          <w:sz w:val="24"/>
          <w:szCs w:val="24"/>
          <w:rtl/>
        </w:rPr>
        <w:t xml:space="preserve"> </w:t>
      </w:r>
    </w:p>
    <w:p>
      <w:pPr>
        <w:pStyle w:val="style0"/>
        <w:ind w:firstLine="567"/>
        <w:jc w:val="both"/>
        <w:rPr>
          <w:rFonts w:ascii="Times New Roman" w:cs="Times New Roman" w:hAnsi="Times New Roman"/>
          <w:color w:val="222222"/>
          <w:sz w:val="24"/>
          <w:szCs w:val="24"/>
          <w:shd w:val="clear" w:color="auto" w:fill="ffffff"/>
        </w:rPr>
      </w:pPr>
      <w:r>
        <w:rPr>
          <w:rFonts w:ascii="Times New Roman" w:cs="Times New Roman" w:hAnsi="Times New Roman"/>
          <w:color w:val="202122"/>
          <w:sz w:val="24"/>
          <w:szCs w:val="24"/>
          <w:shd w:val="clear" w:color="auto" w:fill="ffffff"/>
        </w:rPr>
        <w:t>Le </w:t>
      </w:r>
      <w:r>
        <w:rPr>
          <w:rFonts w:ascii="Times New Roman" w:cs="Times New Roman" w:hAnsi="Times New Roman"/>
          <w:b/>
          <w:bCs/>
          <w:color w:val="202122"/>
          <w:sz w:val="24"/>
          <w:szCs w:val="24"/>
          <w:shd w:val="clear" w:color="auto" w:fill="ffffff"/>
        </w:rPr>
        <w:t>droit international de l'environnement</w:t>
      </w:r>
      <w:r>
        <w:rPr>
          <w:rFonts w:ascii="Times New Roman" w:cs="Times New Roman" w:hAnsi="Times New Roman"/>
          <w:color w:val="202122"/>
          <w:sz w:val="24"/>
          <w:szCs w:val="24"/>
          <w:shd w:val="clear" w:color="auto" w:fill="ffffff"/>
        </w:rPr>
        <w:t> </w:t>
      </w:r>
      <w:r>
        <w:rPr>
          <w:rFonts w:ascii="Times New Roman" w:cs="Times New Roman" w:hAnsi="Times New Roman"/>
          <w:color w:val="222222"/>
          <w:sz w:val="24"/>
          <w:szCs w:val="24"/>
          <w:shd w:val="clear" w:color="auto" w:fill="ffffff"/>
        </w:rPr>
        <w:t xml:space="preserve">couvre des domaines aussi variés </w:t>
      </w:r>
      <w:r>
        <w:rPr>
          <w:rFonts w:ascii="Times New Roman" w:cs="Times New Roman" w:hAnsi="Times New Roman"/>
          <w:color w:val="222222"/>
          <w:sz w:val="24"/>
          <w:szCs w:val="24"/>
          <w:shd w:val="clear" w:color="auto" w:fill="ffffff"/>
        </w:rPr>
        <w:t xml:space="preserve">tel </w:t>
      </w:r>
      <w:r>
        <w:rPr>
          <w:rFonts w:ascii="Times New Roman" w:cs="Times New Roman" w:hAnsi="Times New Roman"/>
          <w:color w:val="222222"/>
          <w:sz w:val="24"/>
          <w:szCs w:val="24"/>
          <w:shd w:val="clear" w:color="auto" w:fill="ffffff"/>
        </w:rPr>
        <w:t>que la pollution</w:t>
      </w:r>
      <w:r>
        <w:rPr>
          <w:rFonts w:ascii="Times New Roman" w:cs="Times New Roman" w:hAnsi="Times New Roman"/>
          <w:color w:val="222222"/>
          <w:sz w:val="24"/>
          <w:szCs w:val="24"/>
          <w:shd w:val="clear" w:color="auto" w:fill="ffffff"/>
        </w:rPr>
        <w:t xml:space="preserve"> (terre - l’air - eau)</w:t>
      </w:r>
      <w:r>
        <w:rPr>
          <w:rFonts w:ascii="Times New Roman" w:cs="Times New Roman" w:hAnsi="Times New Roman"/>
          <w:color w:val="222222"/>
          <w:sz w:val="24"/>
          <w:szCs w:val="24"/>
          <w:shd w:val="clear" w:color="auto" w:fill="ffffff"/>
        </w:rPr>
        <w:t>, le changement climatique, la diversité biologique, la déforestation</w:t>
      </w:r>
      <w:r>
        <w:rPr>
          <w:rFonts w:ascii="Times New Roman" w:cs="Times New Roman" w:hAnsi="Times New Roman"/>
          <w:color w:val="222222"/>
          <w:sz w:val="24"/>
          <w:szCs w:val="24"/>
          <w:shd w:val="clear" w:color="auto" w:fill="ffffff"/>
        </w:rPr>
        <w:t xml:space="preserve">, la surpêche, </w:t>
      </w:r>
      <w:r>
        <w:rPr>
          <w:rFonts w:ascii="Times New Roman" w:cs="Times New Roman" w:hAnsi="Times New Roman"/>
          <w:color w:val="222222"/>
          <w:sz w:val="24"/>
          <w:szCs w:val="24"/>
          <w:shd w:val="clear" w:color="auto" w:fill="ffffff"/>
        </w:rPr>
        <w:t>….</w:t>
      </w:r>
    </w:p>
    <w:p>
      <w:pPr>
        <w:pStyle w:val="style0"/>
        <w:ind w:firstLine="567"/>
        <w:jc w:val="both"/>
        <w:rPr>
          <w:rFonts w:ascii="Times New Roman" w:cs="Times New Roman" w:hAnsi="Times New Roman"/>
          <w:sz w:val="24"/>
          <w:szCs w:val="24"/>
        </w:rPr>
      </w:pPr>
      <w:r>
        <w:rPr>
          <w:rFonts w:ascii="Times New Roman" w:cs="Times New Roman" w:hAnsi="Times New Roman"/>
          <w:color w:val="202122"/>
          <w:sz w:val="24"/>
          <w:szCs w:val="24"/>
          <w:shd w:val="clear" w:color="auto" w:fill="ffffff"/>
        </w:rPr>
        <w:t>De ce</w:t>
      </w:r>
      <w:r>
        <w:rPr>
          <w:rFonts w:ascii="Times New Roman" w:cs="Times New Roman" w:hAnsi="Times New Roman"/>
          <w:color w:val="202122"/>
          <w:sz w:val="24"/>
          <w:szCs w:val="24"/>
          <w:shd w:val="clear" w:color="auto" w:fill="ffffff"/>
        </w:rPr>
        <w:t>la</w:t>
      </w:r>
      <w:r>
        <w:rPr>
          <w:rFonts w:ascii="Times New Roman" w:cs="Times New Roman" w:hAnsi="Times New Roman"/>
          <w:color w:val="202122"/>
          <w:sz w:val="24"/>
          <w:szCs w:val="24"/>
          <w:shd w:val="clear" w:color="auto" w:fill="ffffff"/>
        </w:rPr>
        <w:t>, l</w:t>
      </w:r>
      <w:r>
        <w:rPr>
          <w:rFonts w:ascii="Times New Roman" w:cs="Times New Roman" w:hAnsi="Times New Roman"/>
          <w:color w:val="202122"/>
          <w:sz w:val="24"/>
          <w:szCs w:val="24"/>
          <w:shd w:val="clear" w:color="auto" w:fill="ffffff"/>
        </w:rPr>
        <w:t>e </w:t>
      </w:r>
      <w:r>
        <w:rPr>
          <w:rFonts w:ascii="Times New Roman" w:cs="Times New Roman" w:hAnsi="Times New Roman"/>
          <w:b/>
          <w:bCs/>
          <w:color w:val="202122"/>
          <w:sz w:val="24"/>
          <w:szCs w:val="24"/>
          <w:shd w:val="clear" w:color="auto" w:fill="ffffff"/>
        </w:rPr>
        <w:t>droit de l'environnement</w:t>
      </w:r>
      <w:r>
        <w:rPr>
          <w:rFonts w:ascii="Times New Roman" w:cs="Times New Roman" w:hAnsi="Times New Roman"/>
          <w:color w:val="202122"/>
          <w:sz w:val="24"/>
          <w:szCs w:val="24"/>
          <w:shd w:val="clear" w:color="auto" w:fill="ffffff"/>
        </w:rPr>
        <w:t xml:space="preserve"> concerne l'étude ou l'élaboration de règles juridiques visant la compréhension, la protection, l'utilisation, la gestion ou la restauration de </w:t>
      </w:r>
      <w:r>
        <w:rPr>
          <w:rFonts w:ascii="Times New Roman" w:cs="Times New Roman" w:hAnsi="Times New Roman"/>
          <w:color w:val="202122"/>
          <w:sz w:val="24"/>
          <w:szCs w:val="24"/>
          <w:shd w:val="clear" w:color="auto" w:fill="ffffff"/>
        </w:rPr>
        <w:t xml:space="preserve">l'environnement </w:t>
      </w:r>
      <w:r>
        <w:rPr>
          <w:rFonts w:ascii="Times New Roman" w:cs="Times New Roman" w:hAnsi="Times New Roman"/>
          <w:sz w:val="24"/>
          <w:szCs w:val="24"/>
        </w:rPr>
        <w:t xml:space="preserve">contre perturbation écologique </w:t>
      </w:r>
      <w:r>
        <w:rPr>
          <w:rFonts w:ascii="Times New Roman" w:cs="Times New Roman" w:hAnsi="Times New Roman"/>
          <w:color w:val="202122"/>
          <w:sz w:val="24"/>
          <w:szCs w:val="24"/>
          <w:shd w:val="clear" w:color="auto" w:fill="ffffff"/>
        </w:rPr>
        <w:t>sous toutes</w:t>
      </w:r>
      <w:r>
        <w:rPr>
          <w:rFonts w:ascii="Times New Roman" w:cs="Times New Roman" w:hAnsi="Times New Roman"/>
          <w:color w:val="202122"/>
          <w:sz w:val="24"/>
          <w:szCs w:val="24"/>
          <w:shd w:val="clear" w:color="auto" w:fill="ffffff"/>
        </w:rPr>
        <w:t xml:space="preserve"> ses formes - terrestres, aquatiques et marines, naturelles et culturelles, voire non-terrestres (droit spatial)</w:t>
      </w:r>
      <w:r>
        <w:rPr>
          <w:rFonts w:ascii="Times New Roman" w:cs="Times New Roman" w:hAnsi="Times New Roman"/>
          <w:color w:val="202122"/>
          <w:sz w:val="24"/>
          <w:szCs w:val="24"/>
          <w:shd w:val="clear" w:color="auto" w:fill="ffffff"/>
          <w:vertAlign w:val="superscript"/>
        </w:rPr>
        <w:t>(</w:t>
      </w:r>
      <w:r>
        <w:rPr>
          <w:rStyle w:val="style38"/>
          <w:rFonts w:ascii="Times New Roman" w:cs="Times New Roman" w:hAnsi="Times New Roman"/>
          <w:color w:val="202122"/>
          <w:sz w:val="24"/>
          <w:szCs w:val="24"/>
          <w:shd w:val="clear" w:color="auto" w:fill="ffffff"/>
        </w:rPr>
        <w:footnoteReference w:id="1"/>
      </w:r>
      <w:r>
        <w:rPr>
          <w:rFonts w:ascii="Times New Roman" w:cs="Times New Roman" w:hAnsi="Times New Roman"/>
          <w:color w:val="202122"/>
          <w:sz w:val="24"/>
          <w:szCs w:val="24"/>
          <w:shd w:val="clear" w:color="auto" w:fill="ffffff"/>
          <w:vertAlign w:val="superscript"/>
        </w:rPr>
        <w:t>)</w:t>
      </w:r>
      <w:r>
        <w:rPr>
          <w:rFonts w:ascii="Times New Roman" w:cs="Times New Roman" w:hAnsi="Times New Roman"/>
          <w:color w:val="202122"/>
          <w:sz w:val="24"/>
          <w:szCs w:val="24"/>
          <w:shd w:val="clear" w:color="auto" w:fill="ffffff"/>
        </w:rPr>
        <w:t>.</w:t>
      </w:r>
    </w:p>
    <w:p>
      <w:pPr>
        <w:pStyle w:val="style0"/>
        <w:ind w:firstLine="567"/>
        <w:jc w:val="both"/>
        <w:rPr>
          <w:rFonts w:ascii="Times New Roman" w:cs="Times New Roman" w:hAnsi="Times New Roman"/>
          <w:sz w:val="28"/>
          <w:szCs w:val="28"/>
        </w:rPr>
      </w:pPr>
      <w:r>
        <w:rPr>
          <w:rFonts w:ascii="Times New Roman" w:cs="Times New Roman" w:hAnsi="Times New Roman"/>
          <w:sz w:val="24"/>
          <w:szCs w:val="24"/>
        </w:rPr>
        <w:t>Nous tenons définir l’environnement. Selon le dictionnaire Larousse, l’environnement est « </w:t>
      </w:r>
      <w:r>
        <w:rPr>
          <w:rFonts w:ascii="Times New Roman" w:cs="Times New Roman" w:hAnsi="Times New Roman"/>
          <w:i/>
          <w:iCs/>
          <w:sz w:val="24"/>
          <w:szCs w:val="24"/>
        </w:rPr>
        <w:t>Ensemble des éléments (biotiques ou abiotiques) qui entourent un individu ou une espèce et dont certains contribuent directement à subvenir à ses besoins</w:t>
      </w:r>
      <w:r>
        <w:rPr>
          <w:rFonts w:ascii="Times New Roman" w:cs="Times New Roman" w:hAnsi="Times New Roman"/>
          <w:sz w:val="24"/>
          <w:szCs w:val="24"/>
        </w:rPr>
        <w:t> ».</w:t>
      </w:r>
      <w:r>
        <w:rPr>
          <w:rFonts w:ascii="Times New Roman" w:cs="Times New Roman" w:hAnsi="Times New Roman"/>
          <w:sz w:val="24"/>
          <w:szCs w:val="24"/>
        </w:rPr>
        <w:t xml:space="preserve"> </w:t>
      </w:r>
      <w:r>
        <w:rPr>
          <w:rFonts w:ascii="Times New Roman" w:cs="Times New Roman" w:hAnsi="Times New Roman"/>
          <w:sz w:val="24"/>
          <w:szCs w:val="24"/>
        </w:rPr>
        <w:t xml:space="preserve">Pour certains juristes, à l’instar de </w:t>
      </w:r>
      <w:r>
        <w:rPr>
          <w:rFonts w:ascii="Times New Roman" w:cs="Times New Roman" w:hAnsi="Times New Roman"/>
          <w:b/>
          <w:bCs/>
          <w:sz w:val="24"/>
          <w:szCs w:val="24"/>
        </w:rPr>
        <w:t>Maurice KAMTO</w:t>
      </w:r>
      <w:r>
        <w:rPr>
          <w:rFonts w:ascii="Times New Roman" w:cs="Times New Roman" w:hAnsi="Times New Roman"/>
          <w:sz w:val="24"/>
          <w:szCs w:val="24"/>
        </w:rPr>
        <w:t xml:space="preserve"> qui définit l’environnement comme « </w:t>
      </w:r>
      <w:r>
        <w:rPr>
          <w:rFonts w:ascii="Times New Roman" w:cs="Times New Roman" w:hAnsi="Times New Roman"/>
          <w:i/>
          <w:iCs/>
          <w:sz w:val="24"/>
          <w:szCs w:val="24"/>
        </w:rPr>
        <w:t>(…) le milieu, l’ensemble de la nature et de ses ressources (…)</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vertAlign w:val="superscript"/>
        </w:rPr>
        <w:t>(</w:t>
      </w:r>
      <w:r>
        <w:rPr>
          <w:rStyle w:val="style38"/>
          <w:rFonts w:ascii="Times New Roman" w:cs="Times New Roman" w:hAnsi="Times New Roman"/>
          <w:sz w:val="24"/>
          <w:szCs w:val="24"/>
        </w:rPr>
        <w:footnoteReference w:id="2"/>
      </w:r>
      <w:r>
        <w:rPr>
          <w:rFonts w:ascii="Times New Roman" w:cs="Times New Roman" w:hAnsi="Times New Roman"/>
          <w:sz w:val="24"/>
          <w:szCs w:val="24"/>
          <w:vertAlign w:val="superscript"/>
        </w:rPr>
        <w:t>)</w:t>
      </w:r>
      <w:r>
        <w:rPr>
          <w:rFonts w:ascii="Times New Roman" w:cs="Times New Roman" w:hAnsi="Times New Roman"/>
          <w:sz w:val="24"/>
          <w:szCs w:val="24"/>
        </w:rPr>
        <w:t>.</w:t>
      </w:r>
    </w:p>
    <w:p>
      <w:pPr>
        <w:pStyle w:val="style0"/>
        <w:ind w:firstLine="567"/>
        <w:jc w:val="both"/>
        <w:rPr>
          <w:rFonts w:ascii="Times New Roman" w:cs="Times New Roman" w:hAnsi="Times New Roman"/>
          <w:sz w:val="28"/>
          <w:szCs w:val="28"/>
        </w:rPr>
      </w:pPr>
      <w:r>
        <w:rPr>
          <w:rFonts w:ascii="Times New Roman" w:cs="Times New Roman" w:hAnsi="Times New Roman"/>
          <w:sz w:val="24"/>
          <w:szCs w:val="24"/>
        </w:rPr>
        <w:t xml:space="preserve">Tandis que, la pollution </w:t>
      </w:r>
      <w:r>
        <w:rPr>
          <w:rFonts w:ascii="Times New Roman" w:cs="Times New Roman" w:hAnsi="Times New Roman"/>
          <w:sz w:val="24"/>
          <w:szCs w:val="24"/>
        </w:rPr>
        <w:t xml:space="preserve">en tant que problème majeur pour l’humanité </w:t>
      </w:r>
      <w:r>
        <w:rPr>
          <w:rFonts w:ascii="Times New Roman" w:cs="Times New Roman" w:hAnsi="Times New Roman"/>
          <w:sz w:val="24"/>
          <w:szCs w:val="24"/>
        </w:rPr>
        <w:t>est «</w:t>
      </w:r>
      <w:r>
        <w:rPr>
          <w:rFonts w:ascii="Times New Roman" w:cs="Times New Roman" w:hAnsi="Times New Roman"/>
          <w:i/>
          <w:iCs/>
          <w:sz w:val="24"/>
          <w:szCs w:val="24"/>
        </w:rPr>
        <w:t xml:space="preserve"> l’introduction par l’homme, directement ou indirectement de substances ou d’énergies dans l’environnement, ayant une action nocive de nature à mettre en danger la santé humaine, à détériorer les biens naturels et porter atteinte ou nuire aux valeurs d’agréments et aux autres utilisateurs légitimes de l’environnement </w:t>
      </w:r>
      <w:r>
        <w:rPr>
          <w:rFonts w:ascii="Times New Roman" w:cs="Times New Roman" w:hAnsi="Times New Roman"/>
          <w:sz w:val="24"/>
          <w:szCs w:val="24"/>
        </w:rPr>
        <w:t>»</w:t>
      </w:r>
      <w:r>
        <w:rPr>
          <w:rFonts w:ascii="Times New Roman" w:cs="Times New Roman" w:hAnsi="Times New Roman"/>
          <w:sz w:val="24"/>
          <w:szCs w:val="24"/>
          <w:vertAlign w:val="superscript"/>
        </w:rPr>
        <w:t>(</w:t>
      </w:r>
      <w:r>
        <w:rPr>
          <w:rStyle w:val="style38"/>
          <w:rFonts w:ascii="Times New Roman" w:cs="Times New Roman" w:hAnsi="Times New Roman"/>
          <w:sz w:val="24"/>
          <w:szCs w:val="24"/>
        </w:rPr>
        <w:footnoteReference w:id="3"/>
      </w:r>
      <w:r>
        <w:rPr>
          <w:rFonts w:ascii="Times New Roman" w:cs="Times New Roman" w:hAnsi="Times New Roman"/>
          <w:sz w:val="24"/>
          <w:szCs w:val="24"/>
          <w:vertAlign w:val="superscript"/>
        </w:rPr>
        <w:t>)</w:t>
      </w:r>
      <w:r>
        <w:rPr>
          <w:rFonts w:ascii="Times New Roman" w:cs="Times New Roman" w:hAnsi="Times New Roman"/>
          <w:sz w:val="24"/>
          <w:szCs w:val="24"/>
        </w:rPr>
        <w:t>.</w:t>
      </w:r>
    </w:p>
    <w:p>
      <w:pPr>
        <w:pStyle w:val="style0"/>
        <w:autoSpaceDE w:val="false"/>
        <w:autoSpaceDN w:val="false"/>
        <w:adjustRightInd w:val="false"/>
        <w:spacing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Le siècle dernier a été témoin de catastrophes </w:t>
      </w:r>
      <w:r>
        <w:rPr>
          <w:rFonts w:ascii="Times New Roman" w:cs="Times New Roman" w:hAnsi="Times New Roman"/>
          <w:sz w:val="24"/>
          <w:szCs w:val="24"/>
        </w:rPr>
        <w:t>écologique</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tels que le TORREY CANYON en 1967</w:t>
      </w:r>
      <w:r>
        <w:rPr>
          <w:rFonts w:ascii="Times New Roman" w:cs="Times New Roman" w:hAnsi="Times New Roman"/>
          <w:sz w:val="24"/>
          <w:szCs w:val="24"/>
        </w:rPr>
        <w:t>)</w:t>
      </w:r>
      <w:r>
        <w:rPr>
          <w:rFonts w:ascii="Times New Roman" w:cs="Times New Roman" w:hAnsi="Times New Roman"/>
          <w:sz w:val="24"/>
          <w:szCs w:val="24"/>
        </w:rPr>
        <w:t xml:space="preserve"> qui ont servi comme un catalyseur pour l'émergence d'efforts à plusieurs niveaux, notamment juridiques, pour mettre fin aux crimes commis contre l'environnement terrestre ou marin.</w:t>
      </w:r>
    </w:p>
    <w:p>
      <w:pPr>
        <w:pStyle w:val="style0"/>
        <w:autoSpaceDE w:val="false"/>
        <w:autoSpaceDN w:val="false"/>
        <w:adjustRightInd w:val="false"/>
        <w:spacing w:lineRule="auto" w:line="240"/>
        <w:ind w:firstLine="567"/>
        <w:jc w:val="both"/>
        <w:rPr>
          <w:rFonts w:ascii="Times New Roman" w:cs="Times New Roman" w:hAnsi="Times New Roman"/>
          <w:color w:val="000000"/>
          <w:sz w:val="24"/>
          <w:szCs w:val="24"/>
        </w:rPr>
      </w:pPr>
      <w:r>
        <w:rPr>
          <w:rFonts w:ascii="Times New Roman" w:cs="Times New Roman" w:hAnsi="Times New Roman"/>
          <w:sz w:val="24"/>
          <w:szCs w:val="24"/>
        </w:rPr>
        <w:t>L’organisation des Nations Unies</w:t>
      </w:r>
      <w:r>
        <w:rPr>
          <w:rFonts w:ascii="Times New Roman" w:cs="Times New Roman" w:hAnsi="Times New Roman"/>
          <w:color w:val="000000"/>
          <w:sz w:val="24"/>
          <w:szCs w:val="24"/>
        </w:rPr>
        <w:t xml:space="preserve"> a joué un rôle important dans la protection de l'environnement. Pour cela, les États ont tenue quatre grandes conférences, dont la première est </w:t>
      </w:r>
      <w:r>
        <w:rPr>
          <w:rFonts w:ascii="Times New Roman" w:cs="Times New Roman" w:hAnsi="Times New Roman"/>
          <w:sz w:val="24"/>
          <w:szCs w:val="24"/>
        </w:rPr>
        <w:t>la Conférence des Nations unies sur</w:t>
      </w:r>
      <w:r>
        <w:rPr>
          <w:rFonts w:ascii="Times New Roman" w:cs="Times New Roman" w:hAnsi="Times New Roman"/>
          <w:i/>
          <w:iCs/>
          <w:color w:val="000000"/>
          <w:sz w:val="24"/>
          <w:szCs w:val="24"/>
          <w:bdr w:val="none" w:sz="0" w:space="0" w:color="auto" w:frame="true"/>
          <w:shd w:val="clear" w:color="auto" w:fill="ffffff"/>
        </w:rPr>
        <w:t xml:space="preserve"> </w:t>
      </w:r>
      <w:r>
        <w:rPr>
          <w:rFonts w:ascii="Times New Roman" w:cs="Times New Roman" w:hAnsi="Times New Roman"/>
          <w:sz w:val="24"/>
          <w:szCs w:val="24"/>
        </w:rPr>
        <w:t xml:space="preserve">l'Environnement humain (CNUEH), aussi appelée </w:t>
      </w:r>
      <w:r>
        <w:rPr>
          <w:rFonts w:ascii="Times New Roman" w:cs="Times New Roman" w:hAnsi="Times New Roman"/>
          <w:sz w:val="24"/>
          <w:szCs w:val="24"/>
        </w:rPr>
        <w:t xml:space="preserve">conférence de Stockholm </w:t>
      </w:r>
      <w:r>
        <w:rPr>
          <w:rFonts w:ascii="Times New Roman" w:cs="Times New Roman" w:hAnsi="Times New Roman"/>
          <w:color w:val="000000"/>
          <w:sz w:val="24"/>
          <w:szCs w:val="24"/>
        </w:rPr>
        <w:t xml:space="preserve">tenu en cette ville du </w:t>
      </w:r>
      <w:r>
        <w:rPr>
          <w:rFonts w:ascii="Times New Roman" w:cs="Times New Roman" w:hAnsi="Times New Roman"/>
          <w:sz w:val="24"/>
          <w:szCs w:val="24"/>
          <w:shd w:val="clear" w:color="auto" w:fill="ffffff"/>
        </w:rPr>
        <w:t>5 au 16 juin</w:t>
      </w:r>
      <w:r>
        <w:rPr>
          <w:rFonts w:ascii="Times New Roman" w:cs="Times New Roman" w:hAnsi="Times New Roman"/>
          <w:color w:val="000000"/>
          <w:sz w:val="24"/>
          <w:szCs w:val="24"/>
        </w:rPr>
        <w:t xml:space="preserve"> 1972</w:t>
      </w:r>
      <w:r>
        <w:rPr>
          <w:rFonts w:ascii="Times New Roman" w:cs="Times New Roman" w:hAnsi="Times New Roman"/>
          <w:sz w:val="24"/>
          <w:szCs w:val="24"/>
        </w:rPr>
        <w:t>,</w:t>
      </w:r>
      <w:r>
        <w:rPr>
          <w:rFonts w:ascii="Times New Roman" w:cs="Times New Roman" w:hAnsi="Times New Roman"/>
          <w:color w:val="000000"/>
          <w:sz w:val="24"/>
          <w:szCs w:val="24"/>
        </w:rPr>
        <w:t xml:space="preserve"> centrée sur </w:t>
      </w:r>
      <w:r>
        <w:rPr>
          <w:rFonts w:ascii="Times New Roman" w:cs="Times New Roman" w:hAnsi="Times New Roman"/>
          <w:color w:val="000000"/>
          <w:sz w:val="24"/>
          <w:szCs w:val="24"/>
        </w:rPr>
        <w:t>l'environnement</w:t>
      </w:r>
      <w:r>
        <w:rPr>
          <w:rFonts w:ascii="Times New Roman" w:cs="Times New Roman" w:hAnsi="Times New Roman"/>
          <w:color w:val="000000"/>
          <w:sz w:val="24"/>
          <w:szCs w:val="24"/>
          <w:vertAlign w:val="superscript"/>
        </w:rPr>
        <w:t>(</w:t>
      </w:r>
      <w:r>
        <w:rPr>
          <w:rFonts w:ascii="Times New Roman" w:cs="Times New Roman" w:hAnsi="Times New Roman"/>
          <w:color w:val="000000"/>
          <w:sz w:val="24"/>
          <w:szCs w:val="24"/>
          <w:vertAlign w:val="superscript"/>
        </w:rPr>
        <w:footnoteReference w:id="4"/>
      </w:r>
      <w:r>
        <w:rPr>
          <w:rFonts w:ascii="Times New Roman" w:cs="Times New Roman" w:hAnsi="Times New Roman"/>
          <w:color w:val="000000"/>
          <w:sz w:val="24"/>
          <w:szCs w:val="24"/>
          <w:vertAlign w:val="superscript"/>
        </w:rPr>
        <w:t>)</w:t>
      </w:r>
      <w:r>
        <w:rPr>
          <w:rFonts w:ascii="Times New Roman" w:cs="Times New Roman" w:hAnsi="Times New Roman"/>
          <w:color w:val="000000"/>
          <w:sz w:val="24"/>
          <w:szCs w:val="24"/>
        </w:rPr>
        <w:t>.</w:t>
      </w:r>
    </w:p>
    <w:p>
      <w:pPr>
        <w:pStyle w:val="style0"/>
        <w:autoSpaceDE w:val="false"/>
        <w:autoSpaceDN w:val="false"/>
        <w:adjustRightInd w:val="false"/>
        <w:spacing w:lineRule="auto" w:line="240"/>
        <w:ind w:firstLine="567"/>
        <w:jc w:val="both"/>
        <w:rPr>
          <w:rFonts w:ascii="Times New Roman" w:cs="Times New Roman" w:hAnsi="Times New Roman"/>
          <w:color w:val="000000"/>
          <w:sz w:val="24"/>
          <w:szCs w:val="24"/>
        </w:rPr>
      </w:pPr>
      <w:r>
        <w:rPr>
          <w:rFonts w:ascii="Times New Roman" w:cs="Times New Roman" w:hAnsi="Times New Roman"/>
          <w:color w:val="000000"/>
          <w:sz w:val="24"/>
          <w:szCs w:val="24"/>
          <w:shd w:val="clear" w:color="auto" w:fill="ffffff"/>
        </w:rPr>
        <w:t>Cette ladite conférence s'est achevée par une </w:t>
      </w:r>
      <w:r>
        <w:rPr>
          <w:rFonts w:ascii="Times New Roman" w:cs="Times New Roman" w:hAnsi="Times New Roman"/>
          <w:sz w:val="24"/>
          <w:szCs w:val="24"/>
        </w:rPr>
        <w:t>déclaration de 26 principes,</w:t>
      </w:r>
      <w:r>
        <w:rPr>
          <w:rFonts w:ascii="Times New Roman" w:cs="Times New Roman" w:hAnsi="Times New Roman"/>
          <w:color w:val="000000"/>
          <w:sz w:val="24"/>
          <w:szCs w:val="24"/>
          <w:shd w:val="clear" w:color="auto" w:fill="ffffff"/>
        </w:rPr>
        <w:t xml:space="preserve"> par des objectifs spécifiques accompagnés d'un plan d'action, et par la création du Programme des Nations unies pour l'environnement (PNUE</w:t>
      </w:r>
      <w:r>
        <w:rPr>
          <w:rFonts w:ascii="Times New Roman" w:cs="Times New Roman" w:hAnsi="Times New Roman"/>
          <w:color w:val="000000"/>
          <w:sz w:val="24"/>
          <w:szCs w:val="24"/>
          <w:shd w:val="clear" w:color="auto" w:fill="ffffff"/>
        </w:rPr>
        <w:t>)</w:t>
      </w:r>
      <w:r>
        <w:rPr>
          <w:rFonts w:ascii="Times New Roman" w:cs="Times New Roman" w:hAnsi="Times New Roman"/>
          <w:color w:val="000000"/>
          <w:sz w:val="24"/>
          <w:szCs w:val="24"/>
          <w:shd w:val="clear" w:color="auto" w:fill="ffffff"/>
          <w:vertAlign w:val="superscript"/>
        </w:rPr>
        <w:t>(</w:t>
      </w:r>
      <w:r>
        <w:rPr>
          <w:rFonts w:ascii="Times New Roman" w:cs="Times New Roman" w:hAnsi="Times New Roman"/>
          <w:color w:val="000000"/>
          <w:sz w:val="24"/>
          <w:szCs w:val="24"/>
          <w:shd w:val="clear" w:color="auto" w:fill="ffffff"/>
          <w:vertAlign w:val="superscript"/>
        </w:rPr>
        <w:footnoteReference w:id="5"/>
      </w:r>
      <w:r>
        <w:rPr>
          <w:rFonts w:ascii="Times New Roman" w:cs="Times New Roman" w:hAnsi="Times New Roman"/>
          <w:color w:val="000000"/>
          <w:sz w:val="24"/>
          <w:szCs w:val="24"/>
          <w:shd w:val="clear" w:color="auto" w:fill="ffffff"/>
          <w:vertAlign w:val="superscript"/>
        </w:rPr>
        <w:t>)</w:t>
      </w:r>
      <w:r>
        <w:rPr>
          <w:rFonts w:ascii="Times New Roman" w:cs="Times New Roman" w:hAnsi="Times New Roman"/>
          <w:color w:val="000000"/>
          <w:sz w:val="24"/>
          <w:szCs w:val="24"/>
          <w:shd w:val="clear" w:color="auto" w:fill="ffffff"/>
        </w:rPr>
        <w:t>.</w:t>
      </w:r>
    </w:p>
    <w:p>
      <w:pPr>
        <w:pStyle w:val="style0"/>
        <w:autoSpaceDE w:val="false"/>
        <w:autoSpaceDN w:val="false"/>
        <w:adjustRightInd w:val="false"/>
        <w:spacing w:lineRule="auto" w:line="240"/>
        <w:ind w:firstLine="567"/>
        <w:jc w:val="both"/>
        <w:rPr>
          <w:rFonts w:ascii="Times New Roman" w:cs="Times New Roman" w:hAnsi="Times New Roman"/>
          <w:sz w:val="24"/>
          <w:szCs w:val="24"/>
        </w:rPr>
      </w:pPr>
      <w:r>
        <w:rPr>
          <w:rFonts w:ascii="Times New Roman" w:cs="Times New Roman" w:hAnsi="Times New Roman"/>
          <w:color w:val="000000"/>
          <w:sz w:val="24"/>
          <w:szCs w:val="24"/>
        </w:rPr>
        <w:t>Suivi d’une seconde</w:t>
      </w:r>
      <w:r>
        <w:rPr>
          <w:rFonts w:ascii="Times New Roman" w:cs="Times New Roman" w:hAnsi="Times New Roman"/>
          <w:color w:val="000000"/>
          <w:sz w:val="24"/>
          <w:szCs w:val="24"/>
          <w:shd w:val="clear" w:color="auto" w:fill="ffffff"/>
        </w:rPr>
        <w:t xml:space="preserve"> conférence</w:t>
      </w:r>
      <w:r>
        <w:rPr>
          <w:rFonts w:ascii="Times New Roman" w:cs="Times New Roman" w:hAnsi="Times New Roman"/>
          <w:color w:val="000000"/>
          <w:sz w:val="24"/>
          <w:szCs w:val="24"/>
        </w:rPr>
        <w:t xml:space="preserve"> axée sur l'environnement et le développement tenu à Rio de Janeiro du 3 au 14 juin 1992. Cette dernière est concrétisée de </w:t>
      </w:r>
      <w:r>
        <w:rPr>
          <w:rFonts w:ascii="Times New Roman" w:cs="Times New Roman" w:hAnsi="Times New Roman"/>
          <w:sz w:val="24"/>
          <w:szCs w:val="24"/>
        </w:rPr>
        <w:t>traité de Rio (ou Déclaration de Rio), qui a donné naissance à la Convention-Cadre des Nations Unies sur les changements climatiques (CCNUCC) entrée</w:t>
      </w:r>
      <w:r>
        <w:rPr>
          <w:rFonts w:ascii="Times New Roman" w:cs="Times New Roman" w:hAnsi="Times New Roman"/>
          <w:sz w:val="24"/>
          <w:szCs w:val="24"/>
          <w:shd w:val="clear" w:color="auto" w:fill="ffffff"/>
        </w:rPr>
        <w:t xml:space="preserve"> en vigueur en 1994. Son objectif est de « stabiliser les concentrations de gaz à effet de serre dan</w:t>
      </w:r>
      <w:r>
        <w:rPr>
          <w:rFonts w:ascii="Times New Roman" w:cs="Times New Roman" w:hAnsi="Times New Roman"/>
          <w:sz w:val="24"/>
          <w:szCs w:val="24"/>
        </w:rPr>
        <w:t>s</w:t>
      </w:r>
      <w:r>
        <w:rPr>
          <w:rFonts w:ascii="Times New Roman" w:cs="Times New Roman" w:hAnsi="Times New Roman"/>
          <w:sz w:val="24"/>
          <w:szCs w:val="24"/>
          <w:shd w:val="clear" w:color="auto" w:fill="ffffff"/>
        </w:rPr>
        <w:t xml:space="preserve"> l’atmosphère à un niveau qui empêche toute perturbation anthropique dangereuse du système climatique mondial </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vertAlign w:val="superscript"/>
        </w:rPr>
        <w:t>(</w:t>
      </w:r>
      <w:r>
        <w:rPr>
          <w:rFonts w:ascii="Times New Roman" w:cs="Times New Roman" w:hAnsi="Times New Roman"/>
          <w:sz w:val="24"/>
          <w:szCs w:val="24"/>
          <w:shd w:val="clear" w:color="auto" w:fill="ffffff"/>
          <w:vertAlign w:val="superscript"/>
        </w:rPr>
        <w:footnoteReference w:id="6"/>
      </w:r>
      <w:r>
        <w:rPr>
          <w:rFonts w:ascii="Times New Roman" w:cs="Times New Roman" w:hAnsi="Times New Roman"/>
          <w:sz w:val="24"/>
          <w:szCs w:val="24"/>
          <w:shd w:val="clear" w:color="auto" w:fill="ffffff"/>
          <w:vertAlign w:val="superscript"/>
        </w:rPr>
        <w:t>)</w:t>
      </w:r>
      <w:r>
        <w:rPr>
          <w:rFonts w:ascii="Times New Roman" w:cs="Times New Roman" w:hAnsi="Times New Roman"/>
          <w:sz w:val="24"/>
          <w:szCs w:val="24"/>
          <w:shd w:val="clear" w:color="auto" w:fill="ffffff"/>
        </w:rPr>
        <w:t>. </w:t>
      </w:r>
    </w:p>
    <w:p>
      <w:pPr>
        <w:pStyle w:val="style0"/>
        <w:autoSpaceDE w:val="false"/>
        <w:autoSpaceDN w:val="false"/>
        <w:adjustRightInd w:val="false"/>
        <w:spacing w:lineRule="auto" w:line="240"/>
        <w:ind w:firstLine="567"/>
        <w:jc w:val="both"/>
        <w:rPr>
          <w:rFonts w:ascii="Times New Roman" w:cs="Times New Roman" w:hAnsi="Times New Roman"/>
          <w:sz w:val="24"/>
          <w:szCs w:val="24"/>
        </w:rPr>
      </w:pPr>
      <w:r>
        <w:rPr>
          <w:rFonts w:ascii="Times New Roman" w:cs="Times New Roman" w:hAnsi="Times New Roman"/>
          <w:color w:val="000000"/>
          <w:sz w:val="24"/>
          <w:szCs w:val="24"/>
        </w:rPr>
        <w:t xml:space="preserve">Dix ans après, une troisième </w:t>
      </w:r>
      <w:r>
        <w:rPr>
          <w:rFonts w:ascii="Times New Roman" w:cs="Times New Roman" w:hAnsi="Times New Roman"/>
          <w:color w:val="000000"/>
          <w:sz w:val="24"/>
          <w:szCs w:val="24"/>
          <w:shd w:val="clear" w:color="auto" w:fill="ffffff"/>
        </w:rPr>
        <w:t>conférence</w:t>
      </w:r>
      <w:r>
        <w:rPr>
          <w:rFonts w:ascii="Times New Roman" w:cs="Times New Roman" w:hAnsi="Times New Roman"/>
          <w:color w:val="000000"/>
          <w:sz w:val="24"/>
          <w:szCs w:val="24"/>
        </w:rPr>
        <w:t xml:space="preserve"> portait sur le développement durable tenu à </w:t>
      </w:r>
      <w:r>
        <w:rPr>
          <w:rFonts w:ascii="Times New Roman" w:cs="Times New Roman" w:hAnsi="Times New Roman"/>
          <w:sz w:val="24"/>
          <w:szCs w:val="24"/>
        </w:rPr>
        <w:t xml:space="preserve">Johannesburg du 26 août au 4 septembre 2002. Elle a abordé une série de défis auxquels la communauté internationale est confrontée en énonçant que « </w:t>
      </w:r>
      <w:r>
        <w:rPr>
          <w:rFonts w:ascii="Times New Roman" w:cs="Times New Roman" w:hAnsi="Times New Roman"/>
          <w:i/>
          <w:iCs/>
          <w:sz w:val="24"/>
          <w:szCs w:val="24"/>
        </w:rPr>
        <w:t>L’environnement mondial demeure fragile. (…) et la pollution de l’air, de l’eau et du milieu marin empêche des millions d’individus d’accéder à un niveau de vie correct</w:t>
      </w:r>
      <w:r>
        <w:rPr>
          <w:rFonts w:ascii="Times New Roman" w:cs="Times New Roman" w:hAnsi="Times New Roman"/>
          <w:sz w:val="24"/>
          <w:szCs w:val="24"/>
        </w:rPr>
        <w:t> </w:t>
      </w:r>
      <w:r>
        <w:rPr>
          <w:rFonts w:ascii="Times New Roman" w:cs="Times New Roman" w:hAnsi="Times New Roman"/>
          <w:sz w:val="24"/>
          <w:szCs w:val="24"/>
        </w:rPr>
        <w:t>»</w:t>
      </w:r>
      <w:r>
        <w:rPr>
          <w:rFonts w:ascii="Times New Roman" w:cs="Times New Roman" w:hAnsi="Times New Roman"/>
          <w:sz w:val="24"/>
          <w:szCs w:val="24"/>
          <w:vertAlign w:val="superscript"/>
        </w:rPr>
        <w:t>(</w:t>
      </w:r>
      <w:r>
        <w:rPr>
          <w:rFonts w:ascii="Times New Roman" w:cs="Times New Roman" w:hAnsi="Times New Roman"/>
          <w:sz w:val="24"/>
          <w:szCs w:val="24"/>
          <w:vertAlign w:val="superscript"/>
        </w:rPr>
        <w:footnoteReference w:id="7"/>
      </w:r>
      <w:r>
        <w:rPr>
          <w:rFonts w:ascii="Times New Roman" w:cs="Times New Roman" w:hAnsi="Times New Roman"/>
          <w:sz w:val="24"/>
          <w:szCs w:val="24"/>
          <w:vertAlign w:val="superscript"/>
        </w:rPr>
        <w:t>)</w:t>
      </w:r>
      <w:r>
        <w:rPr>
          <w:rFonts w:ascii="Times New Roman" w:cs="Times New Roman" w:hAnsi="Times New Roman"/>
          <w:sz w:val="24"/>
          <w:szCs w:val="24"/>
        </w:rPr>
        <w:t>.</w:t>
      </w:r>
    </w:p>
    <w:p>
      <w:pPr>
        <w:pStyle w:val="style0"/>
        <w:autoSpaceDE w:val="false"/>
        <w:autoSpaceDN w:val="false"/>
        <w:adjustRightInd w:val="false"/>
        <w:spacing w:lineRule="auto" w:line="240"/>
        <w:ind w:firstLine="567"/>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La dernière s'est tenue à Rio de Janeiro du 20 au 22 juin 2012 sur le développement durable, qui a également coïncidé avec le vingtième anniversaire du Sommet de la Terre de 1992.</w:t>
      </w:r>
    </w:p>
    <w:p>
      <w:pPr>
        <w:pStyle w:val="style0"/>
        <w:ind w:firstLine="567"/>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Certains des traités les plus importants concernant l’environnement sont:</w:t>
      </w:r>
    </w:p>
    <w:p>
      <w:pPr>
        <w:pStyle w:val="style0"/>
        <w:jc w:val="both"/>
        <w:rPr>
          <w:rStyle w:val="style87"/>
          <w:rFonts w:ascii="Times New Roman" w:cs="Times New Roman" w:hAnsi="Times New Roman"/>
          <w:color w:val="747272"/>
          <w:sz w:val="24"/>
          <w:szCs w:val="24"/>
          <w:shd w:val="clear" w:color="auto" w:fill="ffffff"/>
        </w:rPr>
      </w:pP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La Convention sur le commerce international des espèces de faune et de flore sauvages menacées d’extinction (CITES), 1973:</w:t>
      </w:r>
    </w:p>
    <w:p>
      <w:pPr>
        <w:pStyle w:val="style0"/>
        <w:jc w:val="both"/>
        <w:rPr>
          <w:rStyle w:val="style87"/>
          <w:rFonts w:ascii="Times New Roman" w:cs="Times New Roman" w:hAnsi="Times New Roman"/>
          <w:color w:val="747272"/>
          <w:sz w:val="24"/>
          <w:szCs w:val="24"/>
          <w:shd w:val="clear" w:color="auto" w:fill="ffffff"/>
        </w:rPr>
      </w:pPr>
      <w:r>
        <w:rPr>
          <w:rFonts w:ascii="Times New Roman" w:cs="Times New Roman" w:hAnsi="Times New Roman"/>
          <w:sz w:val="24"/>
          <w:szCs w:val="24"/>
        </w:rPr>
        <w:t xml:space="preserve">- </w:t>
      </w:r>
      <w:r>
        <w:rPr>
          <w:rFonts w:ascii="Times New Roman" w:cs="Times New Roman" w:hAnsi="Times New Roman"/>
          <w:sz w:val="24"/>
          <w:szCs w:val="24"/>
        </w:rPr>
        <w:t>Le Protocole de Montréal, 1987:</w:t>
      </w:r>
    </w:p>
    <w:p>
      <w:pPr>
        <w:pStyle w:val="style0"/>
        <w:jc w:val="both"/>
        <w:rPr>
          <w:rStyle w:val="style87"/>
          <w:rFonts w:ascii="Times New Roman" w:cs="Times New Roman" w:hAnsi="Times New Roman"/>
          <w:color w:val="747272"/>
          <w:sz w:val="24"/>
          <w:szCs w:val="24"/>
          <w:shd w:val="clear" w:color="auto" w:fill="ffffff"/>
        </w:rPr>
      </w:pPr>
      <w:r>
        <w:rPr>
          <w:rFonts w:ascii="Times New Roman" w:cs="Times New Roman" w:hAnsi="Times New Roman"/>
          <w:sz w:val="24"/>
          <w:szCs w:val="24"/>
        </w:rPr>
        <w:t xml:space="preserve">- </w:t>
      </w:r>
      <w:r>
        <w:rPr>
          <w:rFonts w:ascii="Times New Roman" w:cs="Times New Roman" w:hAnsi="Times New Roman"/>
          <w:sz w:val="24"/>
          <w:szCs w:val="24"/>
        </w:rPr>
        <w:t>La Convention de Rio, 1992:</w:t>
      </w:r>
    </w:p>
    <w:p>
      <w:pPr>
        <w:pStyle w:val="style0"/>
        <w:jc w:val="both"/>
        <w:rPr>
          <w:rStyle w:val="style87"/>
          <w:rFonts w:ascii="Times New Roman" w:cs="Times New Roman" w:hAnsi="Times New Roman"/>
          <w:color w:val="747272"/>
          <w:sz w:val="24"/>
          <w:szCs w:val="24"/>
          <w:shd w:val="clear" w:color="auto" w:fill="ffffff"/>
        </w:rPr>
      </w:pPr>
      <w:r>
        <w:rPr>
          <w:rFonts w:ascii="Times New Roman" w:cs="Times New Roman" w:hAnsi="Times New Roman"/>
          <w:sz w:val="24"/>
          <w:szCs w:val="24"/>
        </w:rPr>
        <w:t xml:space="preserve">- </w:t>
      </w:r>
      <w:r>
        <w:rPr>
          <w:rFonts w:ascii="Times New Roman" w:cs="Times New Roman" w:hAnsi="Times New Roman"/>
          <w:sz w:val="24"/>
          <w:szCs w:val="24"/>
        </w:rPr>
        <w:t>La convention-cadre des</w:t>
      </w:r>
      <w:r>
        <w:rPr>
          <w:rStyle w:val="style87"/>
          <w:rFonts w:ascii="Times New Roman" w:cs="Times New Roman" w:hAnsi="Times New Roman"/>
          <w:color w:val="747272"/>
          <w:sz w:val="24"/>
          <w:szCs w:val="24"/>
          <w:shd w:val="clear" w:color="auto" w:fill="ffffff"/>
        </w:rPr>
        <w:t xml:space="preserve"> </w:t>
      </w:r>
      <w:r>
        <w:rPr>
          <w:rFonts w:ascii="Times New Roman" w:cs="Times New Roman" w:hAnsi="Times New Roman"/>
          <w:sz w:val="24"/>
          <w:szCs w:val="24"/>
        </w:rPr>
        <w:t>Nations Unies sur les changements climatiques, 1994:</w:t>
      </w:r>
    </w:p>
    <w:p>
      <w:pPr>
        <w:pStyle w:val="style0"/>
        <w:jc w:val="both"/>
        <w:rPr>
          <w:rStyle w:val="style87"/>
          <w:rFonts w:ascii="Times New Roman" w:cs="Times New Roman" w:hAnsi="Times New Roman"/>
          <w:color w:val="747272"/>
          <w:sz w:val="24"/>
          <w:szCs w:val="24"/>
          <w:shd w:val="clear" w:color="auto" w:fill="ffffff"/>
        </w:rPr>
      </w:pPr>
      <w:r>
        <w:rPr>
          <w:rFonts w:ascii="Times New Roman" w:cs="Times New Roman" w:hAnsi="Times New Roman"/>
          <w:sz w:val="24"/>
          <w:szCs w:val="24"/>
        </w:rPr>
        <w:t xml:space="preserve">- </w:t>
      </w:r>
      <w:r>
        <w:rPr>
          <w:rFonts w:ascii="Times New Roman" w:cs="Times New Roman" w:hAnsi="Times New Roman"/>
          <w:sz w:val="24"/>
          <w:szCs w:val="24"/>
        </w:rPr>
        <w:t>Le Protocole de Kyoto, 1997:</w:t>
      </w:r>
    </w:p>
    <w:p>
      <w:pPr>
        <w:pStyle w:val="style0"/>
        <w:jc w:val="both"/>
        <w:rPr>
          <w:rFonts w:ascii="Times New Roman" w:cs="Times New Roman" w:hAnsi="Times New Roman"/>
          <w:color w:val="000000"/>
          <w:sz w:val="24"/>
          <w:szCs w:val="24"/>
        </w:rPr>
      </w:pPr>
      <w:r>
        <w:rPr>
          <w:rFonts w:ascii="Times New Roman" w:cs="Times New Roman" w:hAnsi="Times New Roman"/>
          <w:sz w:val="24"/>
          <w:szCs w:val="24"/>
        </w:rPr>
        <w:t xml:space="preserve">- </w:t>
      </w:r>
      <w:r>
        <w:rPr>
          <w:rFonts w:ascii="Times New Roman" w:cs="Times New Roman" w:hAnsi="Times New Roman"/>
          <w:sz w:val="24"/>
          <w:szCs w:val="24"/>
        </w:rPr>
        <w:t>L’Accord de Paris, 2015:</w:t>
      </w:r>
    </w:p>
    <w:p>
      <w:pPr>
        <w:pStyle w:val="style0"/>
        <w:ind w:firstLine="567"/>
        <w:rPr>
          <w:rFonts w:ascii="Times New Roman" w:cs="Times New Roman" w:hAnsi="Times New Roman"/>
          <w:sz w:val="24"/>
          <w:szCs w:val="24"/>
        </w:rPr>
      </w:pPr>
      <w:r>
        <w:rPr>
          <w:rFonts w:ascii="Times New Roman" w:cs="Times New Roman" w:hAnsi="Times New Roman"/>
          <w:sz w:val="24"/>
          <w:szCs w:val="24"/>
          <w:shd w:val="clear" w:color="auto" w:fill="ffffff"/>
        </w:rPr>
        <w:t xml:space="preserve">Il existe de nombreuses sources différentes de droit international de l’environnement, y compris les traités, la coutume, et les principes généraux du </w:t>
      </w:r>
      <w:r>
        <w:rPr>
          <w:rFonts w:ascii="Times New Roman" w:cs="Times New Roman" w:hAnsi="Times New Roman"/>
          <w:sz w:val="24"/>
          <w:szCs w:val="24"/>
        </w:rPr>
        <w:t xml:space="preserve">droit (comme le prévoit l’article 38 du statut de la Cour internationale de </w:t>
      </w:r>
      <w:r>
        <w:rPr>
          <w:rFonts w:ascii="Times New Roman" w:cs="Times New Roman" w:hAnsi="Times New Roman"/>
          <w:sz w:val="24"/>
          <w:szCs w:val="24"/>
        </w:rPr>
        <w:t>Justice</w:t>
      </w:r>
      <w:r>
        <w:rPr>
          <w:rFonts w:ascii="Times New Roman" w:cs="Times New Roman" w:hAnsi="Times New Roman"/>
          <w:sz w:val="24"/>
          <w:szCs w:val="24"/>
          <w:vertAlign w:val="superscript"/>
        </w:rPr>
        <w:t>(</w:t>
      </w:r>
      <w:r>
        <w:rPr>
          <w:rStyle w:val="style38"/>
          <w:rFonts w:ascii="Times New Roman" w:cs="Times New Roman" w:hAnsi="Times New Roman"/>
          <w:sz w:val="24"/>
          <w:szCs w:val="24"/>
        </w:rPr>
        <w:footnoteReference w:id="8"/>
      </w:r>
      <w:r>
        <w:rPr>
          <w:rFonts w:ascii="Times New Roman" w:cs="Times New Roman" w:hAnsi="Times New Roman"/>
          <w:sz w:val="24"/>
          <w:szCs w:val="24"/>
          <w:vertAlign w:val="superscript"/>
        </w:rPr>
        <w:t>)</w:t>
      </w:r>
      <w:r>
        <w:rPr>
          <w:rFonts w:ascii="Times New Roman" w:cs="Times New Roman" w:hAnsi="Times New Roman"/>
          <w:sz w:val="24"/>
          <w:szCs w:val="24"/>
        </w:rPr>
        <w:t xml:space="preserve"> (CIJ)).</w:t>
      </w:r>
    </w:p>
    <w:p>
      <w:pPr>
        <w:pStyle w:val="style0"/>
        <w:jc w:val="center"/>
        <w:rPr>
          <w:rFonts w:ascii="Times New Roman" w:cs="Times New Roman" w:eastAsia="Times New Roman" w:hAnsi="Times New Roman"/>
          <w:b/>
          <w:bCs/>
          <w:sz w:val="28"/>
          <w:szCs w:val="28"/>
          <w:u w:val="single"/>
          <w:rtl/>
          <w:lang w:bidi="ar-DZ" w:eastAsia="fr-FR"/>
        </w:rPr>
      </w:pPr>
      <w:r>
        <w:rPr>
          <w:rFonts w:ascii="Times New Roman" w:cs="Times New Roman" w:hAnsi="Times New Roman"/>
          <w:sz w:val="24"/>
          <w:szCs w:val="24"/>
        </w:rPr>
        <w:tab/>
      </w:r>
      <w:r>
        <w:rPr>
          <w:rFonts w:ascii="Times New Roman" w:cs="Times New Roman" w:eastAsia="Times New Roman" w:hAnsi="Times New Roman"/>
          <w:b/>
          <w:bCs/>
          <w:sz w:val="28"/>
          <w:szCs w:val="28"/>
          <w:u w:val="single"/>
          <w:lang w:bidi="ar-DZ" w:eastAsia="fr-FR"/>
        </w:rPr>
        <w:t>Mots et expressions clés</w:t>
      </w:r>
      <w:r>
        <w:rPr>
          <w:rFonts w:ascii="Times New Roman" w:cs="Times New Roman" w:eastAsia="Times New Roman" w:hAnsi="Times New Roman"/>
          <w:b/>
          <w:bCs/>
          <w:sz w:val="28"/>
          <w:szCs w:val="28"/>
          <w:lang w:bidi="ar-DZ" w:eastAsia="fr-FR"/>
        </w:rPr>
        <w:t xml:space="preserve"> : Français – Arabe </w:t>
      </w:r>
    </w:p>
    <w:p>
      <w:pPr>
        <w:pStyle w:val="style0"/>
        <w:jc w:val="center"/>
        <w:rPr>
          <w:rFonts w:ascii="Times New Roman" w:cs="Times New Roman" w:hAnsi="Times New Roman"/>
          <w:sz w:val="24"/>
          <w:szCs w:val="24"/>
          <w:lang w:bidi="ar-DZ"/>
        </w:rPr>
      </w:pPr>
      <w:r>
        <w:rPr>
          <w:rFonts w:ascii="Times New Roman" w:cs="Times New Roman" w:hAnsi="Times New Roman"/>
          <w:sz w:val="24"/>
          <w:szCs w:val="24"/>
        </w:rPr>
        <w:t xml:space="preserve">Droit international de l’environnement – </w:t>
      </w:r>
      <w:r>
        <w:rPr>
          <w:rFonts w:ascii="Times New Roman" w:cs="Times New Roman" w:hAnsi="Times New Roman" w:hint="cs"/>
          <w:sz w:val="24"/>
          <w:szCs w:val="24"/>
          <w:rtl/>
          <w:lang w:bidi="ar-DZ"/>
        </w:rPr>
        <w:t>القانون الدولي للبيئة</w:t>
      </w:r>
      <w:r>
        <w:rPr>
          <w:rFonts w:ascii="Times New Roman" w:cs="Times New Roman" w:hAnsi="Times New Roman"/>
          <w:sz w:val="24"/>
          <w:szCs w:val="24"/>
          <w:lang w:bidi="ar-DZ"/>
        </w:rPr>
        <w:t xml:space="preserve"> </w:t>
      </w:r>
    </w:p>
    <w:p>
      <w:pPr>
        <w:pStyle w:val="style0"/>
        <w:tabs>
          <w:tab w:val="left" w:leader="none" w:pos="3366"/>
        </w:tabs>
        <w:jc w:val="center"/>
        <w:rPr>
          <w:rFonts w:ascii="Times New Roman" w:cs="Times New Roman" w:hAnsi="Times New Roman"/>
          <w:sz w:val="24"/>
          <w:szCs w:val="24"/>
        </w:rPr>
      </w:pPr>
      <w:r>
        <w:rPr>
          <w:rFonts w:ascii="Times New Roman" w:cs="Times New Roman" w:hAnsi="Times New Roman"/>
          <w:sz w:val="24"/>
          <w:szCs w:val="24"/>
        </w:rPr>
        <w:t xml:space="preserve">La pollution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hint="cs"/>
          <w:sz w:val="24"/>
          <w:szCs w:val="24"/>
          <w:rtl/>
        </w:rPr>
        <w:t>التلوث</w:t>
      </w:r>
      <w:r>
        <w:rPr>
          <w:rFonts w:ascii="Times New Roman" w:cs="Times New Roman" w:hAnsi="Times New Roman"/>
          <w:sz w:val="24"/>
          <w:szCs w:val="24"/>
        </w:rPr>
        <w:t xml:space="preserve"> </w:t>
      </w:r>
    </w:p>
    <w:p>
      <w:pPr>
        <w:pStyle w:val="style0"/>
        <w:tabs>
          <w:tab w:val="left" w:leader="none" w:pos="3366"/>
        </w:tabs>
        <w:jc w:val="center"/>
        <w:rPr>
          <w:rFonts w:ascii="Times New Roman" w:cs="Times New Roman" w:hAnsi="Times New Roman"/>
          <w:sz w:val="24"/>
          <w:szCs w:val="24"/>
        </w:rPr>
      </w:pPr>
      <w:r>
        <w:rPr>
          <w:rFonts w:ascii="Times New Roman" w:cs="Times New Roman" w:hAnsi="Times New Roman"/>
          <w:sz w:val="24"/>
          <w:szCs w:val="24"/>
        </w:rPr>
        <w:t>Conférence de Stockholm</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hint="cs"/>
          <w:sz w:val="24"/>
          <w:szCs w:val="24"/>
          <w:rtl/>
        </w:rPr>
        <w:t>مؤتمر ستوكهولم</w:t>
      </w:r>
      <w:r>
        <w:rPr>
          <w:rFonts w:ascii="Times New Roman" w:cs="Times New Roman" w:hAnsi="Times New Roman"/>
          <w:sz w:val="24"/>
          <w:szCs w:val="24"/>
        </w:rPr>
        <w:t xml:space="preserve"> </w:t>
      </w:r>
    </w:p>
    <w:p>
      <w:pPr>
        <w:pStyle w:val="style0"/>
        <w:jc w:val="center"/>
        <w:rPr>
          <w:rFonts w:ascii="Times New Roman" w:cs="Times New Roman" w:hAnsi="Times New Roman"/>
          <w:sz w:val="24"/>
          <w:szCs w:val="24"/>
        </w:rPr>
      </w:pPr>
      <w:r>
        <w:rPr>
          <w:rFonts w:ascii="Times New Roman" w:cs="Times New Roman" w:hAnsi="Times New Roman"/>
          <w:sz w:val="24"/>
          <w:szCs w:val="24"/>
        </w:rPr>
        <w:t>Traité de Rio</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hint="cs"/>
          <w:sz w:val="24"/>
          <w:szCs w:val="24"/>
          <w:rtl/>
        </w:rPr>
        <w:t>اعلان ريو</w:t>
      </w:r>
      <w:r>
        <w:rPr>
          <w:rFonts w:ascii="Times New Roman" w:cs="Times New Roman" w:hAnsi="Times New Roman"/>
          <w:sz w:val="24"/>
          <w:szCs w:val="24"/>
        </w:rPr>
        <w:t xml:space="preserve"> </w:t>
      </w:r>
    </w:p>
    <w:p>
      <w:pPr>
        <w:pStyle w:val="style0"/>
        <w:jc w:val="center"/>
        <w:rPr>
          <w:rFonts w:ascii="Times New Roman" w:cs="Times New Roman" w:hAnsi="Times New Roman"/>
          <w:sz w:val="24"/>
          <w:szCs w:val="24"/>
          <w:lang w:bidi="ar-DZ"/>
        </w:rPr>
      </w:pPr>
      <w:r>
        <w:rPr>
          <w:rFonts w:ascii="Times New Roman" w:cs="Times New Roman" w:hAnsi="Times New Roman"/>
          <w:sz w:val="24"/>
          <w:szCs w:val="24"/>
        </w:rPr>
        <w:t xml:space="preserve">Le développement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hint="cs"/>
          <w:sz w:val="24"/>
          <w:szCs w:val="24"/>
          <w:rtl/>
          <w:lang w:bidi="ar-DZ"/>
        </w:rPr>
        <w:t>التنمية</w:t>
      </w:r>
      <w:r>
        <w:rPr>
          <w:rFonts w:ascii="Times New Roman" w:cs="Times New Roman" w:hAnsi="Times New Roman"/>
          <w:sz w:val="24"/>
          <w:szCs w:val="24"/>
          <w:lang w:bidi="ar-DZ"/>
        </w:rPr>
        <w:t xml:space="preserve"> </w:t>
      </w:r>
    </w:p>
    <w:p>
      <w:pPr>
        <w:pStyle w:val="style0"/>
        <w:jc w:val="center"/>
        <w:rPr>
          <w:rFonts w:ascii="Times New Roman" w:cs="Times New Roman" w:hAnsi="Times New Roman"/>
          <w:sz w:val="24"/>
          <w:szCs w:val="24"/>
          <w:lang w:bidi="ar-DZ"/>
        </w:rPr>
      </w:pPr>
      <w:r>
        <w:rPr>
          <w:rFonts w:ascii="Times New Roman" w:cs="Times New Roman" w:hAnsi="Times New Roman"/>
          <w:sz w:val="24"/>
          <w:szCs w:val="24"/>
        </w:rPr>
        <w:tab/>
      </w:r>
      <w:r>
        <w:rPr>
          <w:rFonts w:ascii="Times New Roman" w:cs="Times New Roman" w:hAnsi="Times New Roman"/>
          <w:sz w:val="24"/>
          <w:szCs w:val="24"/>
        </w:rPr>
        <w:t>Biosphère</w:t>
      </w:r>
      <w:r>
        <w:rPr>
          <w:rFonts w:ascii="Times New Roman" w:cs="Times New Roman" w:hAnsi="Times New Roman"/>
          <w:sz w:val="24"/>
          <w:szCs w:val="24"/>
        </w:rPr>
        <w:t xml:space="preserve"> – </w:t>
      </w:r>
      <w:r>
        <w:rPr>
          <w:rFonts w:ascii="Times New Roman" w:cs="Times New Roman" w:hAnsi="Times New Roman" w:hint="cs"/>
          <w:sz w:val="24"/>
          <w:szCs w:val="24"/>
          <w:rtl/>
          <w:lang w:bidi="ar-DZ"/>
        </w:rPr>
        <w:t>المحيط الحيوي</w:t>
      </w:r>
      <w:r>
        <w:rPr>
          <w:rFonts w:ascii="Times New Roman" w:cs="Times New Roman" w:hAnsi="Times New Roman"/>
          <w:sz w:val="24"/>
          <w:szCs w:val="24"/>
          <w:lang w:bidi="ar-DZ"/>
        </w:rPr>
        <w:t xml:space="preserve"> </w:t>
      </w:r>
    </w:p>
    <w:p>
      <w:pPr>
        <w:pStyle w:val="style0"/>
        <w:jc w:val="center"/>
        <w:rPr>
          <w:rFonts w:ascii="Times New Roman" w:cs="Times New Roman" w:hAnsi="Times New Roman"/>
          <w:sz w:val="24"/>
          <w:szCs w:val="24"/>
          <w:rtl/>
          <w:lang w:bidi="ar-DZ"/>
        </w:rPr>
      </w:pP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Simplified Arabic">
    <w:altName w:val="Simplified Arabic"/>
    <w:panose1 w:val="02020603050004020304"/>
    <w:charset w:val="00"/>
    <w:family w:val="roman"/>
    <w:pitch w:val="variable"/>
    <w:sig w:usb0="00002003" w:usb1="00000000" w:usb2="00000000" w:usb3="00000000" w:csb0="00000041" w:csb1="00000000"/>
  </w:font>
  <w:font w:name="Cambria">
    <w:altName w:val="Cambria"/>
    <w:panose1 w:val="02040503050004030204"/>
    <w:charset w:val="00"/>
    <w:family w:val="roman"/>
    <w:pitch w:val="variable"/>
    <w:sig w:usb0="E00002FF" w:usb1="400004FF" w:usb2="00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4098"/>
        <w:jc w:val="both"/>
        <w:rPr>
          <w:sz w:val="20"/>
          <w:szCs w:val="20"/>
        </w:rPr>
      </w:pPr>
      <w:r>
        <w:rPr>
          <w:rStyle w:val="style38"/>
          <w:sz w:val="20"/>
          <w:szCs w:val="20"/>
        </w:rPr>
        <w:footnoteRef/>
      </w:r>
      <w:r>
        <w:rPr>
          <w:sz w:val="20"/>
          <w:szCs w:val="20"/>
        </w:rPr>
        <w:t xml:space="preserve">- </w:t>
      </w:r>
      <w:r>
        <w:rPr>
          <w:sz w:val="20"/>
          <w:szCs w:val="20"/>
        </w:rPr>
        <w:t xml:space="preserve">Voir, </w:t>
      </w:r>
      <w:r>
        <w:rPr>
          <w:b/>
          <w:bCs/>
          <w:sz w:val="20"/>
          <w:szCs w:val="20"/>
        </w:rPr>
        <w:t>Ulrich Kévin KIANGUEBENI</w:t>
      </w:r>
      <w:r>
        <w:rPr>
          <w:sz w:val="20"/>
          <w:szCs w:val="20"/>
        </w:rPr>
        <w:t xml:space="preserve">, « La protection de l’environnement et le développement durable : limites normatives et institutionnelles », </w:t>
      </w:r>
      <w:r>
        <w:rPr>
          <w:i/>
          <w:iCs/>
          <w:sz w:val="20"/>
          <w:szCs w:val="20"/>
          <w:u w:val="single"/>
        </w:rPr>
        <w:t>Revue libre de Droit</w:t>
      </w:r>
      <w:r>
        <w:rPr>
          <w:sz w:val="20"/>
          <w:szCs w:val="20"/>
        </w:rPr>
        <w:t>, 2021,</w:t>
      </w:r>
      <w:r>
        <w:rPr>
          <w:sz w:val="20"/>
          <w:szCs w:val="20"/>
        </w:rPr>
        <w:t xml:space="preserve"> p.38. </w:t>
      </w:r>
      <w:r>
        <w:rPr>
          <w:rFonts w:ascii="Times New Roman" w:cs="Times New Roman" w:hAnsi="Times New Roman"/>
          <w:sz w:val="20"/>
          <w:szCs w:val="20"/>
        </w:rPr>
        <w:t>Disponible sur ;</w:t>
      </w:r>
      <w:r>
        <w:rPr>
          <w:sz w:val="20"/>
          <w:szCs w:val="20"/>
        </w:rPr>
        <w:t xml:space="preserve"> </w:t>
      </w:r>
      <w:r>
        <w:rPr/>
        <w:fldChar w:fldCharType="begin"/>
      </w:r>
      <w:r>
        <w:instrText xml:space="preserve"> HYPERLINK "https://revue-libre-de-droit.fr/wp-content/uploads/2021/03/La-protection-de-l%E2%80%99environnement-et-le-d%C3%A9veloppement-durable-limites-normatives-et-institutionnelles.pdf" </w:instrText>
      </w:r>
      <w:r>
        <w:rPr/>
        <w:fldChar w:fldCharType="separate"/>
      </w:r>
      <w:r>
        <w:rPr>
          <w:rStyle w:val="style85"/>
          <w:rFonts w:ascii="Times New Roman" w:cs="Times New Roman" w:hAnsi="Times New Roman"/>
          <w:sz w:val="20"/>
          <w:szCs w:val="20"/>
        </w:rPr>
        <w:t>https://revue-libre-de-droit.fr/wp-content/uploads/2021/03/La-protection-de-l%E2%80%99environnement-et-le-d%C3%A9veloppement-durable-limites-normatives-et-institutionnelles.pdf</w:t>
      </w:r>
      <w:r>
        <w:rPr/>
        <w:fldChar w:fldCharType="end"/>
      </w:r>
      <w:r>
        <w:rPr>
          <w:rFonts w:ascii="Times New Roman" w:cs="Times New Roman" w:hAnsi="Times New Roman"/>
          <w:sz w:val="20"/>
          <w:szCs w:val="20"/>
        </w:rPr>
        <w:t xml:space="preserve"> </w:t>
      </w:r>
    </w:p>
  </w:footnote>
  <w:footnote w:id="2">
    <w:p>
      <w:pPr>
        <w:pStyle w:val="style0"/>
        <w:spacing w:after="0" w:lineRule="auto" w:line="240"/>
        <w:jc w:val="both"/>
        <w:rPr>
          <w:rFonts w:ascii="Times New Roman" w:cs="Times New Roman" w:hAnsi="Times New Roman"/>
          <w:sz w:val="20"/>
          <w:szCs w:val="20"/>
        </w:rPr>
      </w:pPr>
      <w:r>
        <w:rPr>
          <w:rStyle w:val="style38"/>
          <w:rFonts w:ascii="Times New Roman" w:cs="Times New Roman" w:hAnsi="Times New Roman"/>
          <w:sz w:val="20"/>
          <w:szCs w:val="20"/>
        </w:rPr>
        <w:footnoteRef/>
      </w:r>
      <w:r>
        <w:rPr>
          <w:rFonts w:ascii="Times New Roman" w:cs="Times New Roman" w:hAnsi="Times New Roman"/>
          <w:sz w:val="20"/>
          <w:szCs w:val="20"/>
        </w:rPr>
        <w:t>- Voir,</w:t>
      </w:r>
      <w:r>
        <w:rPr>
          <w:rFonts w:ascii="Times New Roman" w:cs="Times New Roman" w:hAnsi="Times New Roman"/>
          <w:b/>
          <w:bCs/>
          <w:sz w:val="20"/>
          <w:szCs w:val="20"/>
        </w:rPr>
        <w:t xml:space="preserve"> KAMTO Maurice</w:t>
      </w:r>
      <w:r>
        <w:rPr>
          <w:rFonts w:ascii="Times New Roman" w:cs="Times New Roman" w:hAnsi="Times New Roman"/>
          <w:sz w:val="20"/>
          <w:szCs w:val="20"/>
        </w:rPr>
        <w:t>, Droit de l’environnement en Afrique, Éd EDICEF/AUPELF, Coll. Université francophone, Paris, 1996, p.16.</w:t>
      </w:r>
    </w:p>
  </w:footnote>
  <w:footnote w:id="3">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Style w:val="style38"/>
          <w:rFonts w:ascii="Times New Roman" w:cs="Times New Roman" w:hAnsi="Times New Roman"/>
          <w:sz w:val="20"/>
          <w:szCs w:val="20"/>
        </w:rPr>
        <w:footnoteRef/>
      </w:r>
      <w:r>
        <w:rPr>
          <w:rFonts w:ascii="Times New Roman" w:cs="Times New Roman" w:hAnsi="Times New Roman"/>
          <w:sz w:val="20"/>
          <w:szCs w:val="20"/>
        </w:rPr>
        <w:t>- Voir,</w:t>
      </w:r>
      <w:r>
        <w:rPr>
          <w:rFonts w:ascii="Times New Roman" w:cs="Times New Roman" w:hAnsi="Times New Roman"/>
          <w:b/>
          <w:bCs/>
          <w:sz w:val="20"/>
          <w:szCs w:val="20"/>
        </w:rPr>
        <w:t xml:space="preserve"> Etienne </w:t>
      </w:r>
      <w:r>
        <w:rPr>
          <w:rFonts w:ascii="Times New Roman" w:cs="Times New Roman" w:hAnsi="Times New Roman"/>
          <w:b/>
          <w:bCs/>
          <w:sz w:val="20"/>
          <w:szCs w:val="20"/>
        </w:rPr>
        <w:t>Tshibang</w:t>
      </w:r>
      <w:r>
        <w:rPr>
          <w:rFonts w:ascii="Times New Roman" w:cs="Times New Roman" w:hAnsi="Times New Roman"/>
          <w:b/>
          <w:bCs/>
          <w:sz w:val="20"/>
          <w:szCs w:val="20"/>
        </w:rPr>
        <w:t xml:space="preserve"> </w:t>
      </w:r>
      <w:r>
        <w:rPr>
          <w:rFonts w:ascii="Times New Roman" w:cs="Times New Roman" w:hAnsi="Times New Roman"/>
          <w:b/>
          <w:bCs/>
          <w:sz w:val="20"/>
          <w:szCs w:val="20"/>
        </w:rPr>
        <w:t>Mulaj</w:t>
      </w:r>
      <w:r>
        <w:rPr>
          <w:rFonts w:ascii="Times New Roman" w:cs="Times New Roman" w:hAnsi="Times New Roman"/>
          <w:sz w:val="20"/>
          <w:szCs w:val="20"/>
        </w:rPr>
        <w:t>, L’ONU et l’Eglise catholique dans la recherche de la paix en République démocratique du Congo, Ed Connaissances et Savoirs, France, 2018, p.373.</w:t>
      </w:r>
    </w:p>
  </w:footnote>
  <w:footnote w:id="4">
    <w:p>
      <w:pPr>
        <w:pStyle w:val="style29"/>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Disponible sur ;  </w:t>
      </w:r>
      <w:r>
        <w:rPr/>
        <w:fldChar w:fldCharType="begin"/>
      </w:r>
      <w:r>
        <w:instrText xml:space="preserve"> HYPERLINK "https://www.futura-sciences.com/planete/definitions/developpement-durable-conference-stockholm-7173/" </w:instrText>
      </w:r>
      <w:r>
        <w:rPr/>
        <w:fldChar w:fldCharType="separate"/>
      </w:r>
      <w:r>
        <w:rPr>
          <w:rStyle w:val="style85"/>
          <w:rFonts w:ascii="Times New Roman" w:cs="Times New Roman" w:hAnsi="Times New Roman"/>
          <w:sz w:val="24"/>
          <w:szCs w:val="24"/>
        </w:rPr>
        <w:t>https://www.futura-sciences.com/planete/definitions/developpement-durable-conference-stockholm-7173/</w:t>
      </w:r>
      <w:r>
        <w:rPr/>
        <w:fldChar w:fldCharType="end"/>
      </w:r>
      <w:r>
        <w:rPr>
          <w:rFonts w:ascii="Times New Roman" w:cs="Times New Roman" w:hAnsi="Times New Roman"/>
          <w:sz w:val="24"/>
          <w:szCs w:val="24"/>
        </w:rPr>
        <w:t xml:space="preserve"> </w:t>
      </w:r>
    </w:p>
  </w:footnote>
  <w:footnote w:id="5">
    <w:p>
      <w:pPr>
        <w:pStyle w:val="style29"/>
        <w:jc w:val="both"/>
        <w:rPr>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w:t>
      </w:r>
      <w:r>
        <w:rPr>
          <w:rFonts w:ascii="Times New Roman" w:cs="Times New Roman" w:hAnsi="Times New Roman"/>
          <w:b/>
          <w:bCs/>
          <w:sz w:val="24"/>
          <w:szCs w:val="24"/>
        </w:rPr>
        <w:t>Ibid</w:t>
      </w:r>
      <w:r>
        <w:rPr>
          <w:rFonts w:ascii="Times New Roman" w:cs="Times New Roman" w:hAnsi="Times New Roman"/>
          <w:sz w:val="24"/>
          <w:szCs w:val="24"/>
        </w:rPr>
        <w:t>.</w:t>
      </w:r>
      <w:r>
        <w:rPr>
          <w:sz w:val="24"/>
          <w:szCs w:val="24"/>
        </w:rPr>
        <w:t xml:space="preserve"> </w:t>
      </w:r>
    </w:p>
  </w:footnote>
  <w:footnote w:id="6">
    <w:p>
      <w:pPr>
        <w:pStyle w:val="style29"/>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xml:space="preserve">- Disponible sur ; </w:t>
      </w:r>
      <w:r>
        <w:rPr/>
        <w:fldChar w:fldCharType="begin"/>
      </w:r>
      <w:r>
        <w:instrText xml:space="preserve"> HYPERLINK "http://geoconfluences.ens-lyon.fr/glossaire/rio-conference-traite" </w:instrText>
      </w:r>
      <w:r>
        <w:rPr/>
        <w:fldChar w:fldCharType="separate"/>
      </w:r>
      <w:r>
        <w:rPr>
          <w:rStyle w:val="style85"/>
          <w:rFonts w:ascii="Times New Roman" w:cs="Times New Roman" w:hAnsi="Times New Roman"/>
          <w:sz w:val="24"/>
          <w:szCs w:val="24"/>
        </w:rPr>
        <w:t>http://geoconfluences.ens-lyon.fr/glossaire/rio-conference-traite</w:t>
      </w:r>
      <w:r>
        <w:rPr/>
        <w:fldChar w:fldCharType="end"/>
      </w:r>
      <w:r>
        <w:rPr>
          <w:rFonts w:ascii="Times New Roman" w:cs="Times New Roman" w:hAnsi="Times New Roman"/>
          <w:sz w:val="24"/>
          <w:szCs w:val="24"/>
        </w:rPr>
        <w:t xml:space="preserve"> </w:t>
      </w:r>
    </w:p>
  </w:footnote>
  <w:footnote w:id="7">
    <w:p>
      <w:pPr>
        <w:pStyle w:val="style0"/>
        <w:autoSpaceDE w:val="false"/>
        <w:autoSpaceDN w:val="false"/>
        <w:adjustRightInd w:val="false"/>
        <w:spacing w:after="0" w:lineRule="auto" w:line="240"/>
        <w:jc w:val="both"/>
        <w:rPr>
          <w:rFonts w:ascii="Times New Roman" w:cs="Times New Roman" w:hAnsi="Times New Roman"/>
          <w:sz w:val="24"/>
          <w:szCs w:val="24"/>
        </w:rPr>
      </w:pPr>
      <w:r>
        <w:rPr>
          <w:rStyle w:val="style38"/>
          <w:rFonts w:ascii="Times New Roman" w:cs="Times New Roman" w:hAnsi="Times New Roman"/>
          <w:sz w:val="24"/>
          <w:szCs w:val="24"/>
        </w:rPr>
        <w:footnoteRef/>
      </w:r>
      <w:r>
        <w:rPr>
          <w:rFonts w:ascii="Times New Roman" w:cs="Times New Roman" w:hAnsi="Times New Roman"/>
          <w:sz w:val="24"/>
          <w:szCs w:val="24"/>
        </w:rPr>
        <w:t>- Déclaration de Johannesburg sur le développement durable, UN Doc. A/CONF.199/L.6/Rev.2, 4 sept. 2002, §.13.</w:t>
      </w:r>
    </w:p>
  </w:footnote>
  <w:footnote w:id="8">
    <w:p>
      <w:pPr>
        <w:pStyle w:val="style0"/>
        <w:jc w:val="both"/>
        <w:rPr>
          <w:rFonts w:ascii="Times New Roman" w:cs="Times New Roman" w:hAnsi="Times New Roman"/>
          <w:sz w:val="20"/>
          <w:szCs w:val="20"/>
          <w:shd w:val="clear" w:color="auto" w:fill="ffffff"/>
        </w:rPr>
      </w:pPr>
      <w:r>
        <w:rPr>
          <w:rStyle w:val="style38"/>
        </w:rPr>
        <w:footnoteRef/>
      </w:r>
      <w:r>
        <w:rPr>
          <w:sz w:val="20"/>
          <w:szCs w:val="20"/>
        </w:rPr>
        <w:t xml:space="preserve">- </w:t>
      </w:r>
      <w:r>
        <w:rPr>
          <w:rFonts w:ascii="Times New Roman" w:cs="Times New Roman" w:hAnsi="Times New Roman"/>
          <w:sz w:val="20"/>
          <w:szCs w:val="20"/>
          <w:shd w:val="clear" w:color="auto" w:fill="ffffff"/>
        </w:rPr>
        <w:t xml:space="preserve">Les différentes sources du droit international sont mentionnées à l'article 38 du Statut de la Cour internationale de justice : </w:t>
      </w:r>
    </w:p>
    <w:p>
      <w:pPr>
        <w:pStyle w:val="style0"/>
        <w:spacing w:after="0"/>
        <w:jc w:val="both"/>
        <w:rPr>
          <w:rFonts w:ascii="Times New Roman" w:cs="Times New Roman" w:hAnsi="Times New Roman"/>
          <w:b/>
          <w:bCs/>
          <w:sz w:val="20"/>
          <w:szCs w:val="20"/>
          <w:lang w:eastAsia="fr-FR"/>
        </w:rPr>
      </w:pPr>
      <w:r>
        <w:rPr>
          <w:rFonts w:ascii="Times New Roman" w:cs="Times New Roman" w:hAnsi="Times New Roman"/>
          <w:sz w:val="20"/>
          <w:szCs w:val="20"/>
          <w:shd w:val="clear" w:color="auto" w:fill="ffffff"/>
        </w:rPr>
        <w:t xml:space="preserve">« </w:t>
      </w:r>
      <w:r>
        <w:rPr>
          <w:rFonts w:ascii="Times New Roman" w:cs="Times New Roman" w:hAnsi="Times New Roman"/>
          <w:b/>
          <w:bCs/>
          <w:sz w:val="20"/>
          <w:szCs w:val="20"/>
          <w:lang w:eastAsia="fr-FR"/>
        </w:rPr>
        <w:t>1. La Cour, dont la mission est de régler conformément au droit international les différends qui lui sont soumis, applique :</w:t>
      </w:r>
    </w:p>
    <w:p>
      <w:pPr>
        <w:pStyle w:val="style0"/>
        <w:numPr>
          <w:ilvl w:val="0"/>
          <w:numId w:val="1"/>
        </w:numPr>
        <w:spacing w:after="100" w:afterAutospacing="true" w:lineRule="auto" w:line="240"/>
        <w:jc w:val="both"/>
        <w:rPr>
          <w:rFonts w:ascii="Times New Roman" w:cs="Times New Roman" w:eastAsia="Times New Roman" w:hAnsi="Times New Roman"/>
          <w:b/>
          <w:bCs/>
          <w:sz w:val="20"/>
          <w:szCs w:val="20"/>
          <w:lang w:eastAsia="fr-FR"/>
        </w:rPr>
      </w:pPr>
      <w:r>
        <w:rPr>
          <w:rFonts w:ascii="Times New Roman" w:cs="Times New Roman" w:eastAsia="Times New Roman" w:hAnsi="Times New Roman"/>
          <w:b/>
          <w:bCs/>
          <w:sz w:val="20"/>
          <w:szCs w:val="20"/>
          <w:lang w:eastAsia="fr-FR"/>
        </w:rPr>
        <w:t>les conventions internationales, soit générales, soit spéciales, établissant des règles expressément reconnues par les Etats en litige;</w:t>
      </w:r>
    </w:p>
    <w:p>
      <w:pPr>
        <w:pStyle w:val="style0"/>
        <w:numPr>
          <w:ilvl w:val="0"/>
          <w:numId w:val="1"/>
        </w:numPr>
        <w:tabs>
          <w:tab w:val="clear" w:pos="360"/>
        </w:tabs>
        <w:spacing w:before="100" w:beforeAutospacing="true" w:after="100" w:afterAutospacing="true" w:lineRule="auto" w:line="240"/>
        <w:ind w:left="0" w:firstLine="0"/>
        <w:jc w:val="both"/>
        <w:rPr>
          <w:rFonts w:ascii="Times New Roman" w:cs="Times New Roman" w:eastAsia="Times New Roman" w:hAnsi="Times New Roman"/>
          <w:b/>
          <w:bCs/>
          <w:sz w:val="20"/>
          <w:szCs w:val="20"/>
          <w:lang w:eastAsia="fr-FR"/>
        </w:rPr>
      </w:pPr>
      <w:r>
        <w:rPr>
          <w:rFonts w:ascii="Times New Roman" w:cs="Times New Roman" w:eastAsia="Times New Roman" w:hAnsi="Times New Roman"/>
          <w:b/>
          <w:bCs/>
          <w:sz w:val="20"/>
          <w:szCs w:val="20"/>
          <w:lang w:eastAsia="fr-FR"/>
        </w:rPr>
        <w:t>la coutume internationale comme preuve d'une pratique générale acceptée comme étant le droit;</w:t>
      </w:r>
    </w:p>
    <w:p>
      <w:pPr>
        <w:pStyle w:val="style0"/>
        <w:numPr>
          <w:ilvl w:val="0"/>
          <w:numId w:val="1"/>
        </w:numPr>
        <w:spacing w:before="100" w:beforeAutospacing="true" w:after="100" w:afterAutospacing="true" w:lineRule="auto" w:line="240"/>
        <w:jc w:val="both"/>
        <w:rPr>
          <w:rFonts w:ascii="Times New Roman" w:cs="Times New Roman" w:eastAsia="Times New Roman" w:hAnsi="Times New Roman"/>
          <w:b/>
          <w:bCs/>
          <w:sz w:val="20"/>
          <w:szCs w:val="20"/>
          <w:lang w:eastAsia="fr-FR"/>
        </w:rPr>
      </w:pPr>
      <w:r>
        <w:rPr>
          <w:rFonts w:ascii="Times New Roman" w:cs="Times New Roman" w:eastAsia="Times New Roman" w:hAnsi="Times New Roman"/>
          <w:b/>
          <w:bCs/>
          <w:sz w:val="20"/>
          <w:szCs w:val="20"/>
          <w:lang w:eastAsia="fr-FR"/>
        </w:rPr>
        <w:t>les principes généraux de droit reconnus par les nations civilisées;</w:t>
      </w:r>
    </w:p>
    <w:p>
      <w:pPr>
        <w:pStyle w:val="style0"/>
        <w:numPr>
          <w:ilvl w:val="0"/>
          <w:numId w:val="1"/>
        </w:numPr>
        <w:spacing w:before="100" w:beforeAutospacing="true" w:after="100" w:afterAutospacing="true" w:lineRule="auto" w:line="240"/>
        <w:jc w:val="both"/>
        <w:rPr>
          <w:rFonts w:ascii="Times New Roman" w:cs="Times New Roman" w:eastAsia="Times New Roman" w:hAnsi="Times New Roman"/>
          <w:sz w:val="20"/>
          <w:szCs w:val="20"/>
          <w:lang w:eastAsia="fr-FR"/>
        </w:rPr>
      </w:pPr>
      <w:r>
        <w:rPr>
          <w:rFonts w:ascii="Times New Roman" w:cs="Times New Roman" w:eastAsia="Times New Roman" w:hAnsi="Times New Roman"/>
          <w:b/>
          <w:bCs/>
          <w:sz w:val="20"/>
          <w:szCs w:val="20"/>
          <w:lang w:eastAsia="fr-FR"/>
        </w:rPr>
        <w:t>sous réserve de la disposition de l'Article 59, les décisions judiciaires et la doctrine des publicistes les plus qualifiés des différentes nations, comme moyen auxiliaire de détermination des règles de droit</w:t>
      </w:r>
      <w:r>
        <w:rPr>
          <w:rFonts w:ascii="Times New Roman" w:cs="Times New Roman" w:eastAsia="Times New Roman" w:hAnsi="Times New Roman"/>
          <w:sz w:val="20"/>
          <w:szCs w:val="20"/>
          <w:lang w:eastAsia="fr-FR"/>
        </w:rPr>
        <w:t> ».</w:t>
      </w:r>
    </w:p>
    <w:p>
      <w:pPr>
        <w:pStyle w:val="style0"/>
        <w:autoSpaceDE w:val="false"/>
        <w:autoSpaceDN w:val="false"/>
        <w:bidi/>
        <w:adjustRightInd w:val="false"/>
        <w:spacing w:after="0" w:lineRule="auto" w:line="240"/>
        <w:rPr>
          <w:rFonts w:ascii="Simplified Arabic" w:cs="Simplified Arabic" w:hAnsi="Simplified Arabic"/>
          <w:b/>
          <w:bCs/>
          <w:sz w:val="20"/>
          <w:szCs w:val="20"/>
          <w:shd w:val="clear" w:color="auto" w:fill="ffffff"/>
          <w:rtl/>
        </w:rPr>
      </w:pPr>
      <w:r>
        <w:rPr>
          <w:rFonts w:ascii="Simplified Arabic" w:cs="Simplified Arabic" w:hAnsi="Simplified Arabic"/>
          <w:b/>
          <w:bCs/>
          <w:sz w:val="20"/>
          <w:szCs w:val="20"/>
          <w:shd w:val="clear" w:color="auto" w:fill="ffffff"/>
        </w:rPr>
        <w:t>1.» </w:t>
      </w:r>
      <w:r>
        <w:rPr>
          <w:rFonts w:ascii="Simplified Arabic" w:cs="Simplified Arabic" w:hAnsi="Simplified Arabic"/>
          <w:b/>
          <w:bCs/>
          <w:sz w:val="20"/>
          <w:szCs w:val="20"/>
          <w:shd w:val="clear" w:color="auto" w:fill="ffffff"/>
          <w:rtl/>
        </w:rPr>
        <w:t>تُطبق المحكمة، التي تتمثل مهمتها في الفصل وفقًا للقانون الدولي، في النزاعات المعروضة عليها</w:t>
      </w:r>
      <w:r>
        <w:rPr>
          <w:rFonts w:ascii="Simplified Arabic" w:cs="Simplified Arabic" w:hAnsi="Simplified Arabic"/>
          <w:b/>
          <w:bCs/>
          <w:sz w:val="20"/>
          <w:szCs w:val="20"/>
          <w:shd w:val="clear" w:color="auto" w:fill="ffffff"/>
        </w:rPr>
        <w:t>:</w:t>
      </w:r>
    </w:p>
    <w:p>
      <w:pPr>
        <w:pStyle w:val="style0"/>
        <w:autoSpaceDE w:val="false"/>
        <w:autoSpaceDN w:val="false"/>
        <w:bidi/>
        <w:adjustRightInd w:val="false"/>
        <w:spacing w:after="0" w:lineRule="auto" w:line="240"/>
        <w:rPr>
          <w:rFonts w:ascii="Simplified Arabic" w:cs="Simplified Arabic" w:hAnsi="Simplified Arabic"/>
          <w:b/>
          <w:bCs/>
          <w:sz w:val="20"/>
          <w:szCs w:val="20"/>
          <w:shd w:val="clear" w:color="auto" w:fill="ffffff"/>
          <w:rtl/>
        </w:rPr>
      </w:pPr>
      <w:r>
        <w:rPr>
          <w:rFonts w:ascii="Simplified Arabic" w:cs="Simplified Arabic" w:hAnsi="Simplified Arabic"/>
          <w:b/>
          <w:bCs/>
          <w:sz w:val="20"/>
          <w:szCs w:val="20"/>
          <w:shd w:val="clear" w:color="auto" w:fill="ffffff"/>
          <w:rtl/>
        </w:rPr>
        <w:t>1-</w:t>
      </w:r>
      <w:r>
        <w:rPr>
          <w:rFonts w:ascii="Simplified Arabic" w:cs="Simplified Arabic" w:hAnsi="Simplified Arabic"/>
          <w:b/>
          <w:bCs/>
          <w:sz w:val="20"/>
          <w:szCs w:val="20"/>
          <w:shd w:val="clear" w:color="auto" w:fill="ffffff"/>
        </w:rPr>
        <w:t xml:space="preserve"> </w:t>
      </w:r>
      <w:r>
        <w:rPr>
          <w:rFonts w:ascii="Simplified Arabic" w:cs="Simplified Arabic" w:hAnsi="Simplified Arabic"/>
          <w:b/>
          <w:bCs/>
          <w:sz w:val="20"/>
          <w:szCs w:val="20"/>
          <w:shd w:val="clear" w:color="auto" w:fill="ffffff"/>
          <w:rtl/>
        </w:rPr>
        <w:t>الاتفاقيات</w:t>
      </w:r>
      <w:r>
        <w:rPr>
          <w:rFonts w:ascii="Simplified Arabic" w:cs="Simplified Arabic" w:hAnsi="Simplified Arabic"/>
          <w:b/>
          <w:bCs/>
          <w:sz w:val="20"/>
          <w:szCs w:val="20"/>
          <w:shd w:val="clear" w:color="auto" w:fill="ffffff"/>
          <w:rtl/>
        </w:rPr>
        <w:t xml:space="preserve"> الدولية، سواء كانت عامة أو خاصة، التي تحدد القواعد المعترف بها صراحة من قبل الدول المتنازعة؛</w:t>
      </w:r>
    </w:p>
    <w:p>
      <w:pPr>
        <w:pStyle w:val="style0"/>
        <w:autoSpaceDE w:val="false"/>
        <w:autoSpaceDN w:val="false"/>
        <w:bidi/>
        <w:adjustRightInd w:val="false"/>
        <w:spacing w:after="0" w:lineRule="auto" w:line="240"/>
        <w:rPr>
          <w:rFonts w:ascii="Simplified Arabic" w:cs="Simplified Arabic" w:hAnsi="Simplified Arabic"/>
          <w:b/>
          <w:bCs/>
          <w:sz w:val="20"/>
          <w:szCs w:val="20"/>
          <w:shd w:val="clear" w:color="auto" w:fill="ffffff"/>
          <w:rtl/>
        </w:rPr>
      </w:pPr>
      <w:r>
        <w:rPr>
          <w:rFonts w:ascii="Simplified Arabic" w:cs="Simplified Arabic" w:hAnsi="Simplified Arabic"/>
          <w:b/>
          <w:bCs/>
          <w:sz w:val="20"/>
          <w:szCs w:val="20"/>
          <w:shd w:val="clear" w:color="auto" w:fill="ffffff"/>
          <w:rtl/>
        </w:rPr>
        <w:t xml:space="preserve">2- العرف الدولي، كدليل على ممارسة عامة مقبولة </w:t>
      </w:r>
      <w:r>
        <w:rPr>
          <w:rFonts w:ascii="Simplified Arabic" w:cs="Simplified Arabic" w:hAnsi="Simplified Arabic"/>
          <w:b/>
          <w:bCs/>
          <w:sz w:val="20"/>
          <w:szCs w:val="20"/>
          <w:shd w:val="clear" w:color="auto" w:fill="ffffff"/>
          <w:rtl/>
        </w:rPr>
        <w:t>كقانون ؛</w:t>
      </w:r>
    </w:p>
    <w:p>
      <w:pPr>
        <w:pStyle w:val="style0"/>
        <w:autoSpaceDE w:val="false"/>
        <w:autoSpaceDN w:val="false"/>
        <w:bidi/>
        <w:adjustRightInd w:val="false"/>
        <w:spacing w:after="0" w:lineRule="auto" w:line="240"/>
        <w:rPr>
          <w:rFonts w:ascii="Simplified Arabic" w:cs="Simplified Arabic" w:hAnsi="Simplified Arabic"/>
          <w:b/>
          <w:bCs/>
          <w:sz w:val="20"/>
          <w:szCs w:val="20"/>
          <w:shd w:val="clear" w:color="auto" w:fill="ffffff"/>
          <w:rtl/>
        </w:rPr>
      </w:pPr>
      <w:r>
        <w:rPr>
          <w:rFonts w:ascii="Simplified Arabic" w:cs="Simplified Arabic" w:hAnsi="Simplified Arabic"/>
          <w:b/>
          <w:bCs/>
          <w:sz w:val="20"/>
          <w:szCs w:val="20"/>
          <w:shd w:val="clear" w:color="auto" w:fill="ffffff"/>
          <w:rtl/>
        </w:rPr>
        <w:t>3- المبادئ العامة للقانون المعترف به من قبل الدول المتحضرة؛</w:t>
      </w:r>
    </w:p>
    <w:p>
      <w:pPr>
        <w:pStyle w:val="style0"/>
        <w:autoSpaceDE w:val="false"/>
        <w:autoSpaceDN w:val="false"/>
        <w:bidi/>
        <w:adjustRightInd w:val="false"/>
        <w:spacing w:lineRule="auto" w:line="240"/>
        <w:jc w:val="both"/>
        <w:rPr>
          <w:rFonts w:ascii="Simplified Arabic" w:cs="Simplified Arabic" w:hAnsi="Simplified Arabic"/>
          <w:b/>
          <w:bCs/>
          <w:sz w:val="20"/>
          <w:szCs w:val="20"/>
          <w:shd w:val="clear" w:color="auto" w:fill="ffffff"/>
        </w:rPr>
      </w:pPr>
      <w:r>
        <w:rPr>
          <w:rFonts w:ascii="Simplified Arabic" w:cs="Simplified Arabic" w:hAnsi="Simplified Arabic"/>
          <w:b/>
          <w:bCs/>
          <w:sz w:val="20"/>
          <w:szCs w:val="20"/>
          <w:shd w:val="clear" w:color="auto" w:fill="ffffff"/>
          <w:rtl/>
        </w:rPr>
        <w:t xml:space="preserve">4- </w:t>
      </w:r>
      <w:r>
        <w:rPr>
          <w:rFonts w:ascii="Simplified Arabic" w:cs="Simplified Arabic" w:hAnsi="Simplified Arabic"/>
          <w:b/>
          <w:bCs/>
          <w:sz w:val="20"/>
          <w:szCs w:val="20"/>
          <w:shd w:val="clear" w:color="auto" w:fill="ffffff"/>
          <w:rtl/>
        </w:rPr>
        <w:t>مع</w:t>
      </w:r>
      <w:r>
        <w:rPr>
          <w:rFonts w:ascii="Simplified Arabic" w:cs="Simplified Arabic" w:hAnsi="Simplified Arabic"/>
          <w:b/>
          <w:bCs/>
          <w:sz w:val="20"/>
          <w:szCs w:val="20"/>
          <w:shd w:val="clear" w:color="auto" w:fill="ffffff"/>
          <w:rtl/>
        </w:rPr>
        <w:t xml:space="preserve"> مراعاة أحكام المادة 59 والقرارات القضائية وتعاليم أمهر الدعاة من الدول المختلفة كوسائل فرعية لتقرير أحكام القانون</w:t>
      </w:r>
      <w:r>
        <w:rPr>
          <w:rFonts w:ascii="Simplified Arabic" w:cs="Simplified Arabic" w:hAnsi="Simplified Arabic"/>
          <w:b/>
          <w:bCs/>
          <w:sz w:val="20"/>
          <w:szCs w:val="20"/>
          <w:shd w:val="clear" w:color="auto" w:fill="ffffff"/>
        </w:rPr>
        <w:t>« </w:t>
      </w:r>
      <w:r>
        <w:rPr>
          <w:rFonts w:ascii="Simplified Arabic" w:cs="Simplified Arabic" w:hAnsi="Simplified Arabic"/>
          <w:b/>
          <w:bCs/>
          <w:sz w:val="20"/>
          <w:szCs w:val="20"/>
          <w:shd w:val="clear" w:color="auto" w:fill="ffffff"/>
          <w:rtl/>
        </w:rPr>
        <w:t>.</w:t>
      </w:r>
      <w:r>
        <w:rPr>
          <w:rFonts w:ascii="Simplified Arabic" w:cs="Simplified Arabic" w:hAnsi="Simplified Arabic"/>
          <w:b/>
          <w:bCs/>
          <w:sz w:val="20"/>
          <w:szCs w:val="20"/>
          <w:shd w:val="clear" w:color="auto" w:fill="ffffff"/>
        </w:rPr>
        <w:t xml:space="preserve"> </w:t>
      </w:r>
    </w:p>
    <w:p>
      <w:pPr>
        <w:pStyle w:val="style0"/>
        <w:jc w:val="both"/>
        <w:rPr>
          <w:rFonts w:ascii="Times New Roman" w:cs="Times New Roman" w:hAnsi="Times New Roman"/>
          <w:sz w:val="20"/>
          <w:szCs w:val="20"/>
          <w:lang w:eastAsia="fr-FR"/>
        </w:rPr>
      </w:pPr>
      <w:r>
        <w:rPr>
          <w:rFonts w:ascii="Times New Roman" w:cs="Times New Roman" w:hAnsi="Times New Roman"/>
          <w:sz w:val="20"/>
          <w:szCs w:val="20"/>
          <w:lang w:eastAsia="fr-FR"/>
        </w:rPr>
        <w:t>De cet article, on peut retirer deux sortes de sources :</w:t>
      </w:r>
    </w:p>
    <w:p>
      <w:pPr>
        <w:pStyle w:val="style0"/>
        <w:spacing w:after="0"/>
        <w:jc w:val="both"/>
        <w:rPr>
          <w:rFonts w:ascii="Times New Roman" w:cs="Times New Roman" w:hAnsi="Times New Roman"/>
          <w:sz w:val="20"/>
          <w:szCs w:val="20"/>
          <w:lang w:eastAsia="fr-FR"/>
        </w:rPr>
      </w:pPr>
      <w:r>
        <w:rPr>
          <w:rFonts w:ascii="Times New Roman" w:cs="Times New Roman" w:hAnsi="Times New Roman"/>
          <w:sz w:val="20"/>
          <w:szCs w:val="20"/>
          <w:lang w:eastAsia="fr-FR"/>
        </w:rPr>
        <w:t>1- les sources écrites que sont les traités des États, des organisations internationales et des juridictions et tribunaux internationaux.</w:t>
      </w:r>
    </w:p>
    <w:p>
      <w:pPr>
        <w:pStyle w:val="style0"/>
        <w:rPr>
          <w:rFonts w:ascii="Times New Roman" w:cs="Times New Roman" w:hAnsi="Times New Roman"/>
          <w:sz w:val="20"/>
          <w:szCs w:val="20"/>
        </w:rPr>
      </w:pPr>
      <w:r>
        <w:rPr>
          <w:rFonts w:ascii="Times New Roman" w:cs="Times New Roman" w:hAnsi="Times New Roman"/>
          <w:sz w:val="20"/>
          <w:szCs w:val="20"/>
          <w:lang w:eastAsia="fr-FR"/>
        </w:rPr>
        <w:t>2- les sources non écrites que sont la coutume, les principes généraux de droit ainsi que l'équité ;</w:t>
      </w:r>
    </w:p>
    <w:p>
      <w:pPr>
        <w:pStyle w:val="style29"/>
        <w:rPr/>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5E8B4FC"/>
    <w:lvl w:ilvl="0" w:tplc="A5D0916E">
      <w:start w:val="1"/>
      <w:numFmt w:val="bullet"/>
      <w:lvlText w:val="-"/>
      <w:lvlJc w:val="left"/>
      <w:pPr>
        <w:ind w:left="720" w:hanging="360"/>
      </w:pPr>
      <w:rPr>
        <w:rFonts w:ascii="Times New Roman" w:cs="Times New Roman" w:eastAsia="Calibri" w:hAnsi="Times New Roman" w:hint="default"/>
        <w:b w:val="false"/>
        <w:color w:val="auto"/>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37A88EF8"/>
    <w:lvl w:ilvl="0">
      <w:start w:val="1"/>
      <w:numFmt w:val="lowerLetter"/>
      <w:lvlText w:val="%1."/>
      <w:lvlJc w:val="left"/>
      <w:pPr>
        <w:tabs>
          <w:tab w:val="left" w:leader="none" w:pos="360"/>
        </w:tabs>
        <w:ind w:left="360" w:hanging="360"/>
      </w:pPr>
    </w:lvl>
    <w:lvl w:ilvl="1" w:tentative="1">
      <w:start w:val="1"/>
      <w:numFmt w:val="lowerLetter"/>
      <w:lvlText w:val="%2."/>
      <w:lvlJc w:val="left"/>
      <w:pPr>
        <w:tabs>
          <w:tab w:val="left" w:leader="none" w:pos="1080"/>
        </w:tabs>
        <w:ind w:left="1080" w:hanging="360"/>
      </w:pPr>
    </w:lvl>
    <w:lvl w:ilvl="2" w:tentative="1">
      <w:start w:val="1"/>
      <w:numFmt w:val="lowerLetter"/>
      <w:lvlText w:val="%3."/>
      <w:lvlJc w:val="left"/>
      <w:pPr>
        <w:tabs>
          <w:tab w:val="left" w:leader="none" w:pos="1800"/>
        </w:tabs>
        <w:ind w:left="1800" w:hanging="360"/>
      </w:pPr>
    </w:lvl>
    <w:lvl w:ilvl="3" w:tentative="1">
      <w:start w:val="1"/>
      <w:numFmt w:val="lowerLetter"/>
      <w:lvlText w:val="%4."/>
      <w:lvlJc w:val="left"/>
      <w:pPr>
        <w:tabs>
          <w:tab w:val="left" w:leader="none" w:pos="2520"/>
        </w:tabs>
        <w:ind w:left="2520" w:hanging="360"/>
      </w:pPr>
    </w:lvl>
    <w:lvl w:ilvl="4" w:tentative="1">
      <w:start w:val="1"/>
      <w:numFmt w:val="lowerLetter"/>
      <w:lvlText w:val="%5."/>
      <w:lvlJc w:val="left"/>
      <w:pPr>
        <w:tabs>
          <w:tab w:val="left" w:leader="none" w:pos="3240"/>
        </w:tabs>
        <w:ind w:left="3240" w:hanging="360"/>
      </w:pPr>
    </w:lvl>
    <w:lvl w:ilvl="5" w:tentative="1">
      <w:start w:val="1"/>
      <w:numFmt w:val="lowerLetter"/>
      <w:lvlText w:val="%6."/>
      <w:lvlJc w:val="left"/>
      <w:pPr>
        <w:tabs>
          <w:tab w:val="left" w:leader="none" w:pos="3960"/>
        </w:tabs>
        <w:ind w:left="3960" w:hanging="360"/>
      </w:pPr>
    </w:lvl>
    <w:lvl w:ilvl="6" w:tentative="1">
      <w:start w:val="1"/>
      <w:numFmt w:val="lowerLetter"/>
      <w:lvlText w:val="%7."/>
      <w:lvlJc w:val="left"/>
      <w:pPr>
        <w:tabs>
          <w:tab w:val="left" w:leader="none" w:pos="4680"/>
        </w:tabs>
        <w:ind w:left="4680" w:hanging="360"/>
      </w:pPr>
    </w:lvl>
    <w:lvl w:ilvl="7" w:tentative="1">
      <w:start w:val="1"/>
      <w:numFmt w:val="lowerLetter"/>
      <w:lvlText w:val="%8."/>
      <w:lvlJc w:val="left"/>
      <w:pPr>
        <w:tabs>
          <w:tab w:val="left" w:leader="none" w:pos="5400"/>
        </w:tabs>
        <w:ind w:left="5400" w:hanging="360"/>
      </w:pPr>
    </w:lvl>
    <w:lvl w:ilvl="8" w:tentative="1">
      <w:start w:val="1"/>
      <w:numFmt w:val="lowerLetter"/>
      <w:lvlText w:val="%9."/>
      <w:lvlJc w:val="left"/>
      <w:pPr>
        <w:tabs>
          <w:tab w:val="left" w:leader="none" w:pos="6120"/>
        </w:tabs>
        <w:ind w:left="6120" w:hanging="36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fr-F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Note de bas de page C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87">
    <w:name w:val="Strong"/>
    <w:basedOn w:val="style65"/>
    <w:next w:val="style87"/>
    <w:qFormat/>
    <w:uiPriority w:val="22"/>
    <w:rPr>
      <w:b/>
      <w:bCs/>
    </w:r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paragraph" w:customStyle="1" w:styleId="style4098">
    <w:name w:val="Default"/>
    <w:next w:val="style4098"/>
    <w:pPr>
      <w:autoSpaceDE w:val="false"/>
      <w:autoSpaceDN w:val="false"/>
      <w:adjustRightInd w:val="false"/>
      <w:spacing w:after="0" w:lineRule="auto" w:line="240"/>
    </w:pPr>
    <w:rPr>
      <w:rFonts w:ascii="Times New Roman" w:cs="Times New Roman" w:hAnsi="Times New Roman"/>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8DCF-A38D-49F4-AFF7-73368E45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Words>1082</Words>
  <Pages>1</Pages>
  <Characters>6342</Characters>
  <Application>WPS Office</Application>
  <DocSecurity>0</DocSecurity>
  <Paragraphs>53</Paragraphs>
  <ScaleCrop>false</ScaleCrop>
  <LinksUpToDate>false</LinksUpToDate>
  <CharactersWithSpaces>7484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2022-10-15T08:10:00Z</dcterms:created>
  <dc:creator>hp</dc:creator>
  <lastModifiedBy>M2006C3LG</lastModifiedBy>
  <dcterms:modified xsi:type="dcterms:W3CDTF">2022-12-10T16:50:42Z</dcterms:modified>
  <revision>11</revision>
</coreProperties>
</file>

<file path=docProps/custom.xml><?xml version="1.0" encoding="utf-8"?>
<Properties xmlns="http://schemas.openxmlformats.org/officeDocument/2006/custom-properties" xmlns:vt="http://schemas.openxmlformats.org/officeDocument/2006/docPropsVTypes"/>
</file>