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A9" w:rsidRPr="00F151A9" w:rsidRDefault="003B62AC">
      <w:pPr>
        <w:rPr>
          <w:b/>
          <w:bCs/>
          <w:sz w:val="28"/>
          <w:szCs w:val="28"/>
        </w:rPr>
      </w:pPr>
      <w:r>
        <w:rPr>
          <w:b/>
          <w:bCs/>
          <w:sz w:val="28"/>
          <w:szCs w:val="28"/>
        </w:rPr>
        <w:t>Cours numéro 02 </w:t>
      </w:r>
    </w:p>
    <w:p w:rsidR="00D575E9" w:rsidRDefault="00D575E9" w:rsidP="00D575E9">
      <w:pPr>
        <w:jc w:val="center"/>
        <w:rPr>
          <w:b/>
          <w:bCs/>
          <w:sz w:val="28"/>
          <w:szCs w:val="28"/>
        </w:rPr>
      </w:pPr>
      <w:r w:rsidRPr="00F151A9">
        <w:rPr>
          <w:b/>
          <w:bCs/>
          <w:sz w:val="28"/>
          <w:szCs w:val="28"/>
        </w:rPr>
        <w:t>L’arrêt administratif</w:t>
      </w:r>
    </w:p>
    <w:p w:rsidR="004C73BF" w:rsidRDefault="00B710B0" w:rsidP="00B710B0">
      <w:pPr>
        <w:tabs>
          <w:tab w:val="center" w:pos="4536"/>
          <w:tab w:val="left" w:pos="5561"/>
        </w:tabs>
        <w:jc w:val="center"/>
        <w:rPr>
          <w:b/>
          <w:bCs/>
          <w:sz w:val="28"/>
          <w:szCs w:val="28"/>
          <w:rtl/>
          <w:lang w:bidi="ar-DZ"/>
        </w:rPr>
      </w:pPr>
      <w:r>
        <w:rPr>
          <w:rFonts w:hint="cs"/>
          <w:b/>
          <w:bCs/>
          <w:sz w:val="28"/>
          <w:szCs w:val="28"/>
          <w:rtl/>
          <w:lang w:bidi="ar-DZ"/>
        </w:rPr>
        <w:t>القرار الإداري</w:t>
      </w:r>
    </w:p>
    <w:p w:rsidR="00B710B0" w:rsidRPr="00F151A9" w:rsidRDefault="00B710B0" w:rsidP="00B710B0">
      <w:pPr>
        <w:tabs>
          <w:tab w:val="center" w:pos="4536"/>
          <w:tab w:val="left" w:pos="5561"/>
        </w:tabs>
        <w:jc w:val="center"/>
        <w:rPr>
          <w:b/>
          <w:bCs/>
          <w:sz w:val="28"/>
          <w:szCs w:val="28"/>
          <w:rtl/>
          <w:lang w:bidi="ar-DZ"/>
        </w:rPr>
      </w:pPr>
    </w:p>
    <w:p w:rsidR="00D575E9" w:rsidRDefault="00D575E9" w:rsidP="00D575E9">
      <w:pPr>
        <w:rPr>
          <w:b/>
          <w:bCs/>
          <w:sz w:val="28"/>
          <w:szCs w:val="28"/>
          <w:rtl/>
        </w:rPr>
      </w:pPr>
      <w:r w:rsidRPr="00F151A9">
        <w:rPr>
          <w:b/>
          <w:bCs/>
          <w:sz w:val="28"/>
          <w:szCs w:val="28"/>
        </w:rPr>
        <w:t>01-définition de l’arrêt administratif</w:t>
      </w:r>
      <w:r w:rsidR="00B710B0">
        <w:rPr>
          <w:rFonts w:hint="cs"/>
          <w:b/>
          <w:bCs/>
          <w:sz w:val="28"/>
          <w:szCs w:val="28"/>
          <w:rtl/>
        </w:rPr>
        <w:t xml:space="preserve"> </w:t>
      </w:r>
    </w:p>
    <w:p w:rsidR="00B710B0" w:rsidRPr="00F151A9" w:rsidRDefault="00B710B0" w:rsidP="00D575E9">
      <w:pPr>
        <w:rPr>
          <w:b/>
          <w:bCs/>
          <w:sz w:val="28"/>
          <w:szCs w:val="28"/>
        </w:rPr>
      </w:pPr>
      <w:r>
        <w:rPr>
          <w:rFonts w:hint="cs"/>
          <w:b/>
          <w:bCs/>
          <w:sz w:val="28"/>
          <w:szCs w:val="28"/>
          <w:rtl/>
        </w:rPr>
        <w:t xml:space="preserve">تعريف القرار الإداري                 </w:t>
      </w:r>
    </w:p>
    <w:p w:rsidR="00D575E9" w:rsidRDefault="00D575E9" w:rsidP="00D575E9">
      <w:pPr>
        <w:rPr>
          <w:sz w:val="28"/>
          <w:szCs w:val="28"/>
        </w:rPr>
      </w:pPr>
      <w:r>
        <w:rPr>
          <w:sz w:val="28"/>
          <w:szCs w:val="28"/>
        </w:rPr>
        <w:t xml:space="preserve"> L’arrêté est un acte émanant d’une autorité administrative autre que le président de la république ou le premier ministre. L’arrêté peut émaner des ministres, des walis, des chefs de daïras, des présidents d’apc.</w:t>
      </w:r>
    </w:p>
    <w:p w:rsidR="00D575E9" w:rsidRDefault="00D575E9" w:rsidP="00D575E9">
      <w:pPr>
        <w:rPr>
          <w:b/>
          <w:bCs/>
          <w:sz w:val="28"/>
          <w:szCs w:val="28"/>
          <w:rtl/>
        </w:rPr>
      </w:pPr>
      <w:r w:rsidRPr="00F151A9">
        <w:rPr>
          <w:b/>
          <w:bCs/>
          <w:sz w:val="28"/>
          <w:szCs w:val="28"/>
        </w:rPr>
        <w:t>02-les différents types d’actes administratifs</w:t>
      </w:r>
    </w:p>
    <w:p w:rsidR="00B710B0" w:rsidRPr="00F151A9" w:rsidRDefault="00B710B0" w:rsidP="00D575E9">
      <w:pPr>
        <w:rPr>
          <w:b/>
          <w:bCs/>
          <w:sz w:val="28"/>
          <w:szCs w:val="28"/>
        </w:rPr>
      </w:pPr>
      <w:r>
        <w:rPr>
          <w:rFonts w:hint="cs"/>
          <w:b/>
          <w:bCs/>
          <w:sz w:val="28"/>
          <w:szCs w:val="28"/>
          <w:rtl/>
        </w:rPr>
        <w:t xml:space="preserve">أنواع الأعمال الإدارية                     </w:t>
      </w:r>
    </w:p>
    <w:p w:rsidR="00D575E9" w:rsidRDefault="00D575E9" w:rsidP="00D575E9">
      <w:pPr>
        <w:rPr>
          <w:sz w:val="28"/>
          <w:szCs w:val="28"/>
        </w:rPr>
      </w:pPr>
      <w:r>
        <w:rPr>
          <w:sz w:val="28"/>
          <w:szCs w:val="28"/>
        </w:rPr>
        <w:t xml:space="preserve">  Un acte administratif est un acte juridique qui émane d’une autorité administrative et a pour finalité l’intérêt général. Il doit être conforme à un ensemble de règles de droit qui constituent la légalité administrative.</w:t>
      </w:r>
    </w:p>
    <w:p w:rsidR="00664C6E" w:rsidRDefault="00664C6E" w:rsidP="00F151A9">
      <w:pPr>
        <w:rPr>
          <w:b/>
          <w:bCs/>
          <w:sz w:val="28"/>
          <w:szCs w:val="28"/>
          <w:rtl/>
        </w:rPr>
      </w:pPr>
      <w:r w:rsidRPr="00F151A9">
        <w:rPr>
          <w:b/>
          <w:bCs/>
          <w:sz w:val="28"/>
          <w:szCs w:val="28"/>
        </w:rPr>
        <w:t>03-la décision administrative</w:t>
      </w:r>
    </w:p>
    <w:p w:rsidR="00B710B0" w:rsidRPr="00F151A9" w:rsidRDefault="00B710B0" w:rsidP="00F151A9">
      <w:pPr>
        <w:rPr>
          <w:b/>
          <w:bCs/>
          <w:sz w:val="28"/>
          <w:szCs w:val="28"/>
        </w:rPr>
      </w:pPr>
      <w:r>
        <w:rPr>
          <w:rFonts w:hint="cs"/>
          <w:b/>
          <w:bCs/>
          <w:sz w:val="28"/>
          <w:szCs w:val="28"/>
          <w:rtl/>
        </w:rPr>
        <w:t xml:space="preserve">القرار الإداري             </w:t>
      </w:r>
    </w:p>
    <w:p w:rsidR="00664C6E" w:rsidRDefault="00664C6E" w:rsidP="00D575E9">
      <w:pPr>
        <w:rPr>
          <w:sz w:val="28"/>
          <w:szCs w:val="28"/>
        </w:rPr>
      </w:pPr>
      <w:r>
        <w:rPr>
          <w:sz w:val="28"/>
          <w:szCs w:val="28"/>
        </w:rPr>
        <w:t xml:space="preserve">  Une décision administrative est une mesure administrative qui s’impose par la seule volonté de leur auteur sans le consentement des concernées (comme un acte administratif unilatéral) et qui modifie l’ordonnancement juridique. A la différence de la loi qui émane du pouvoir législat</w:t>
      </w:r>
      <w:r w:rsidR="00721F69">
        <w:rPr>
          <w:sz w:val="28"/>
          <w:szCs w:val="28"/>
        </w:rPr>
        <w:t>if, les décrets et les arrêtés s</w:t>
      </w:r>
      <w:r>
        <w:rPr>
          <w:sz w:val="28"/>
          <w:szCs w:val="28"/>
        </w:rPr>
        <w:t>ont des actes réglementaires, pris par le pouvoir exécutifs.</w:t>
      </w:r>
    </w:p>
    <w:p w:rsidR="00F151A9" w:rsidRDefault="00F151A9" w:rsidP="00D575E9">
      <w:pPr>
        <w:rPr>
          <w:b/>
          <w:bCs/>
          <w:sz w:val="28"/>
          <w:szCs w:val="28"/>
          <w:rtl/>
        </w:rPr>
      </w:pPr>
      <w:r w:rsidRPr="00F151A9">
        <w:rPr>
          <w:b/>
          <w:bCs/>
          <w:sz w:val="28"/>
          <w:szCs w:val="28"/>
        </w:rPr>
        <w:t>04-la hiérarchie des actes administratifs</w:t>
      </w:r>
    </w:p>
    <w:p w:rsidR="00B710B0" w:rsidRPr="00F151A9" w:rsidRDefault="00B710B0" w:rsidP="00D575E9">
      <w:pPr>
        <w:rPr>
          <w:b/>
          <w:bCs/>
          <w:sz w:val="28"/>
          <w:szCs w:val="28"/>
        </w:rPr>
      </w:pPr>
      <w:r>
        <w:rPr>
          <w:rFonts w:hint="cs"/>
          <w:b/>
          <w:bCs/>
          <w:sz w:val="28"/>
          <w:szCs w:val="28"/>
          <w:rtl/>
        </w:rPr>
        <w:t xml:space="preserve">تدرج الأعمال الإدارية             </w:t>
      </w:r>
    </w:p>
    <w:p w:rsidR="00F151A9" w:rsidRDefault="00F151A9" w:rsidP="00D575E9">
      <w:pPr>
        <w:rPr>
          <w:sz w:val="28"/>
          <w:szCs w:val="28"/>
          <w:rtl/>
        </w:rPr>
      </w:pPr>
      <w:r>
        <w:rPr>
          <w:sz w:val="28"/>
          <w:szCs w:val="28"/>
        </w:rPr>
        <w:t xml:space="preserve">  Le principe est simple : la hiérarchie entre divers actes administratifs déroule de la position institutionnelle de leur auteur. Si l’ordonnance a été </w:t>
      </w:r>
      <w:r w:rsidR="00B710B0">
        <w:rPr>
          <w:sz w:val="28"/>
          <w:szCs w:val="28"/>
        </w:rPr>
        <w:t>ratifiée</w:t>
      </w:r>
      <w:r>
        <w:rPr>
          <w:sz w:val="28"/>
          <w:szCs w:val="28"/>
        </w:rPr>
        <w:t xml:space="preserve">, elle a </w:t>
      </w:r>
      <w:r w:rsidR="00B710B0">
        <w:rPr>
          <w:sz w:val="28"/>
          <w:szCs w:val="28"/>
        </w:rPr>
        <w:t>la</w:t>
      </w:r>
      <w:r>
        <w:rPr>
          <w:sz w:val="28"/>
          <w:szCs w:val="28"/>
        </w:rPr>
        <w:t xml:space="preserve"> valeur la plus élevée puisqu’elle a la même valeur qu’une loi.</w:t>
      </w:r>
    </w:p>
    <w:p w:rsidR="00B710B0" w:rsidRDefault="00B710B0" w:rsidP="00D575E9">
      <w:pPr>
        <w:rPr>
          <w:sz w:val="28"/>
          <w:szCs w:val="28"/>
        </w:rPr>
      </w:pPr>
    </w:p>
    <w:p w:rsidR="00F151A9" w:rsidRDefault="00F151A9" w:rsidP="00D575E9">
      <w:pPr>
        <w:rPr>
          <w:b/>
          <w:bCs/>
          <w:sz w:val="28"/>
          <w:szCs w:val="28"/>
          <w:rtl/>
        </w:rPr>
      </w:pPr>
      <w:r w:rsidRPr="00F151A9">
        <w:rPr>
          <w:b/>
          <w:bCs/>
          <w:sz w:val="28"/>
          <w:szCs w:val="28"/>
        </w:rPr>
        <w:lastRenderedPageBreak/>
        <w:t>05-l’autorité compétente pour la signature d’une décision administrative</w:t>
      </w:r>
    </w:p>
    <w:p w:rsidR="00B710B0" w:rsidRPr="00F151A9" w:rsidRDefault="00B710B0" w:rsidP="00D575E9">
      <w:pPr>
        <w:rPr>
          <w:b/>
          <w:bCs/>
          <w:sz w:val="28"/>
          <w:szCs w:val="28"/>
        </w:rPr>
      </w:pPr>
      <w:r>
        <w:rPr>
          <w:rFonts w:hint="cs"/>
          <w:b/>
          <w:bCs/>
          <w:sz w:val="28"/>
          <w:szCs w:val="28"/>
          <w:rtl/>
        </w:rPr>
        <w:t xml:space="preserve">الجهة المؤهلة للمصادقة على القرار الإداري                          </w:t>
      </w:r>
    </w:p>
    <w:p w:rsidR="00F151A9" w:rsidRDefault="00F151A9" w:rsidP="00D575E9">
      <w:pPr>
        <w:rPr>
          <w:sz w:val="28"/>
          <w:szCs w:val="28"/>
        </w:rPr>
      </w:pPr>
      <w:r>
        <w:rPr>
          <w:sz w:val="28"/>
          <w:szCs w:val="28"/>
        </w:rPr>
        <w:t xml:space="preserve">  Une autorité administrative ne peut intervenir que si une règle de droit l’y autorise. Généralement, cette règle de droit désigne précisément l’autorité compétente pour prendre la mesure. Celle-ci doit donc, pour être valable, été signée par l’autorité désignée.</w:t>
      </w:r>
    </w:p>
    <w:p w:rsidR="00F151A9" w:rsidRDefault="00F151A9" w:rsidP="00D575E9">
      <w:pPr>
        <w:rPr>
          <w:b/>
          <w:bCs/>
          <w:sz w:val="28"/>
          <w:szCs w:val="28"/>
          <w:rtl/>
        </w:rPr>
      </w:pPr>
      <w:r w:rsidRPr="007218E7">
        <w:rPr>
          <w:b/>
          <w:bCs/>
          <w:sz w:val="28"/>
          <w:szCs w:val="28"/>
        </w:rPr>
        <w:t>06-la différence entre l’ordonnance et la loi</w:t>
      </w:r>
      <w:r w:rsidR="00B710B0">
        <w:rPr>
          <w:rFonts w:hint="cs"/>
          <w:b/>
          <w:bCs/>
          <w:sz w:val="28"/>
          <w:szCs w:val="28"/>
          <w:rtl/>
        </w:rPr>
        <w:t xml:space="preserve"> </w:t>
      </w:r>
    </w:p>
    <w:p w:rsidR="00B710B0" w:rsidRDefault="00AF6770" w:rsidP="00D575E9">
      <w:pPr>
        <w:rPr>
          <w:b/>
          <w:bCs/>
          <w:sz w:val="28"/>
          <w:szCs w:val="28"/>
        </w:rPr>
      </w:pPr>
      <w:r>
        <w:rPr>
          <w:rFonts w:hint="cs"/>
          <w:b/>
          <w:bCs/>
          <w:sz w:val="28"/>
          <w:szCs w:val="28"/>
          <w:rtl/>
        </w:rPr>
        <w:t xml:space="preserve">الفرق بين الأمر والقانون               </w:t>
      </w:r>
      <w:r w:rsidR="00B710B0">
        <w:rPr>
          <w:rFonts w:hint="cs"/>
          <w:b/>
          <w:bCs/>
          <w:sz w:val="28"/>
          <w:szCs w:val="28"/>
          <w:rtl/>
        </w:rPr>
        <w:t xml:space="preserve"> </w:t>
      </w:r>
    </w:p>
    <w:p w:rsidR="00B8526A" w:rsidRDefault="00B8526A" w:rsidP="00D575E9">
      <w:pPr>
        <w:rPr>
          <w:sz w:val="28"/>
          <w:szCs w:val="28"/>
        </w:rPr>
      </w:pPr>
      <w:r>
        <w:rPr>
          <w:b/>
          <w:bCs/>
          <w:sz w:val="28"/>
          <w:szCs w:val="28"/>
        </w:rPr>
        <w:t xml:space="preserve">  </w:t>
      </w:r>
      <w:r>
        <w:rPr>
          <w:sz w:val="28"/>
          <w:szCs w:val="28"/>
        </w:rPr>
        <w:t>Une ordonnance c’est une mesure prise par le gouvernement dans un domaine ou normalement c’est la loi qui doit primer. On parle alors de procédure législative déléguée. Contrairement au décret, une habilitation du parlement est nécessaire</w:t>
      </w:r>
      <w:r w:rsidR="00EB3783">
        <w:rPr>
          <w:sz w:val="28"/>
          <w:szCs w:val="28"/>
        </w:rPr>
        <w:t xml:space="preserve"> pour qu’elle </w:t>
      </w:r>
      <w:r>
        <w:rPr>
          <w:sz w:val="28"/>
          <w:szCs w:val="28"/>
        </w:rPr>
        <w:t>soit  applicable.</w:t>
      </w:r>
    </w:p>
    <w:p w:rsidR="00B8526A" w:rsidRDefault="00B8526A" w:rsidP="00D575E9">
      <w:pPr>
        <w:rPr>
          <w:sz w:val="28"/>
          <w:szCs w:val="28"/>
        </w:rPr>
      </w:pPr>
      <w:r>
        <w:rPr>
          <w:sz w:val="28"/>
          <w:szCs w:val="28"/>
        </w:rPr>
        <w:t>La loi est un texte adopté par le</w:t>
      </w:r>
      <w:r w:rsidR="003A539C">
        <w:rPr>
          <w:sz w:val="28"/>
          <w:szCs w:val="28"/>
        </w:rPr>
        <w:t xml:space="preserve"> parlement, promulgué par le président de la république, le cas échéant après décision du conseil constitutionnel, et fixant des règles et principes fondamentaux. </w:t>
      </w:r>
    </w:p>
    <w:p w:rsidR="003A539C" w:rsidRPr="00B8526A" w:rsidRDefault="003A539C" w:rsidP="00D575E9">
      <w:pPr>
        <w:rPr>
          <w:sz w:val="28"/>
          <w:szCs w:val="28"/>
        </w:rPr>
      </w:pPr>
      <w:r>
        <w:rPr>
          <w:sz w:val="28"/>
          <w:szCs w:val="28"/>
        </w:rPr>
        <w:t>Le gouvernement peut demander au parlement l’autorisation de prendre lui-même une mesure relèvent normalement du domaine de la loi. Cette mesure, déléguée par le pouvoir législatif au pouvoir exécutif.</w:t>
      </w:r>
    </w:p>
    <w:p w:rsidR="00F151A9" w:rsidRDefault="00F151A9" w:rsidP="00D575E9">
      <w:pPr>
        <w:rPr>
          <w:sz w:val="28"/>
          <w:szCs w:val="28"/>
        </w:rPr>
      </w:pPr>
      <w:r>
        <w:rPr>
          <w:sz w:val="28"/>
          <w:szCs w:val="28"/>
        </w:rPr>
        <w:t xml:space="preserve">  </w:t>
      </w:r>
    </w:p>
    <w:p w:rsidR="00D575E9" w:rsidRDefault="00D575E9" w:rsidP="00D575E9">
      <w:pPr>
        <w:rPr>
          <w:sz w:val="28"/>
          <w:szCs w:val="28"/>
        </w:rPr>
      </w:pPr>
      <w:r>
        <w:rPr>
          <w:sz w:val="28"/>
          <w:szCs w:val="28"/>
        </w:rPr>
        <w:t xml:space="preserve">  </w:t>
      </w:r>
    </w:p>
    <w:p w:rsidR="00B6141C" w:rsidRDefault="00B6141C" w:rsidP="00B6141C">
      <w:pPr>
        <w:pStyle w:val="Paragraphedeliste"/>
        <w:jc w:val="center"/>
        <w:rPr>
          <w:b/>
          <w:bCs/>
          <w:sz w:val="28"/>
          <w:szCs w:val="28"/>
          <w:lang w:bidi="ar-DZ"/>
        </w:rPr>
      </w:pPr>
      <w:r>
        <w:rPr>
          <w:b/>
          <w:bCs/>
          <w:sz w:val="28"/>
          <w:szCs w:val="28"/>
          <w:lang w:bidi="ar-DZ"/>
        </w:rPr>
        <w:t>Mots et expressions clés</w:t>
      </w:r>
    </w:p>
    <w:p w:rsidR="00AF6770" w:rsidRDefault="00AF6770" w:rsidP="00AF6770">
      <w:pPr>
        <w:pStyle w:val="Paragraphedeliste"/>
        <w:rPr>
          <w:b/>
          <w:bCs/>
          <w:sz w:val="28"/>
          <w:szCs w:val="28"/>
          <w:lang w:bidi="ar-DZ"/>
        </w:rPr>
      </w:pPr>
    </w:p>
    <w:p w:rsidR="00AF6770" w:rsidRDefault="00AF6770" w:rsidP="00AF6770">
      <w:pPr>
        <w:pStyle w:val="Paragraphedeliste"/>
        <w:jc w:val="center"/>
        <w:rPr>
          <w:b/>
          <w:bCs/>
          <w:sz w:val="28"/>
          <w:szCs w:val="28"/>
          <w:lang w:bidi="ar-DZ"/>
        </w:rPr>
      </w:pPr>
      <w:r>
        <w:rPr>
          <w:b/>
          <w:bCs/>
          <w:sz w:val="28"/>
          <w:szCs w:val="28"/>
          <w:lang w:bidi="ar-DZ"/>
        </w:rPr>
        <w:t>Arrêté</w:t>
      </w:r>
      <w:r w:rsidR="00E66615">
        <w:rPr>
          <w:b/>
          <w:bCs/>
          <w:sz w:val="28"/>
          <w:szCs w:val="28"/>
          <w:lang w:bidi="ar-DZ"/>
        </w:rPr>
        <w:t xml:space="preserve"> </w:t>
      </w:r>
      <w:r>
        <w:rPr>
          <w:b/>
          <w:bCs/>
          <w:sz w:val="28"/>
          <w:szCs w:val="28"/>
          <w:lang w:bidi="ar-DZ"/>
        </w:rPr>
        <w:t>-</w:t>
      </w:r>
      <w:r>
        <w:rPr>
          <w:rFonts w:hint="cs"/>
          <w:b/>
          <w:bCs/>
          <w:sz w:val="28"/>
          <w:szCs w:val="28"/>
          <w:rtl/>
          <w:lang w:bidi="ar-DZ"/>
        </w:rPr>
        <w:t>قرار</w:t>
      </w:r>
    </w:p>
    <w:p w:rsidR="00AF6770" w:rsidRDefault="00AF6770" w:rsidP="00AF6770">
      <w:pPr>
        <w:pStyle w:val="Paragraphedeliste"/>
        <w:jc w:val="center"/>
        <w:rPr>
          <w:b/>
          <w:bCs/>
          <w:sz w:val="28"/>
          <w:szCs w:val="28"/>
          <w:lang w:bidi="ar-DZ"/>
        </w:rPr>
      </w:pPr>
      <w:r>
        <w:rPr>
          <w:b/>
          <w:bCs/>
          <w:sz w:val="28"/>
          <w:szCs w:val="28"/>
          <w:lang w:bidi="ar-DZ"/>
        </w:rPr>
        <w:t>Acte juridique</w:t>
      </w:r>
      <w:r w:rsidR="00E66615">
        <w:rPr>
          <w:b/>
          <w:bCs/>
          <w:sz w:val="28"/>
          <w:szCs w:val="28"/>
          <w:lang w:bidi="ar-DZ"/>
        </w:rPr>
        <w:t xml:space="preserve"> </w:t>
      </w:r>
      <w:r>
        <w:rPr>
          <w:b/>
          <w:bCs/>
          <w:sz w:val="28"/>
          <w:szCs w:val="28"/>
          <w:lang w:bidi="ar-DZ"/>
        </w:rPr>
        <w:t>-</w:t>
      </w:r>
      <w:r w:rsidR="00E66615">
        <w:rPr>
          <w:b/>
          <w:bCs/>
          <w:sz w:val="28"/>
          <w:szCs w:val="28"/>
          <w:lang w:bidi="ar-DZ"/>
        </w:rPr>
        <w:t xml:space="preserve"> </w:t>
      </w:r>
      <w:r>
        <w:rPr>
          <w:rFonts w:hint="cs"/>
          <w:b/>
          <w:bCs/>
          <w:sz w:val="28"/>
          <w:szCs w:val="28"/>
          <w:rtl/>
          <w:lang w:bidi="ar-DZ"/>
        </w:rPr>
        <w:t xml:space="preserve"> عمل قانوني</w:t>
      </w:r>
    </w:p>
    <w:p w:rsidR="00AF6770" w:rsidRDefault="00AF6770" w:rsidP="00AF6770">
      <w:pPr>
        <w:pStyle w:val="Paragraphedeliste"/>
        <w:jc w:val="center"/>
        <w:rPr>
          <w:b/>
          <w:bCs/>
          <w:sz w:val="28"/>
          <w:szCs w:val="28"/>
          <w:lang w:bidi="ar-DZ"/>
        </w:rPr>
      </w:pPr>
      <w:r>
        <w:rPr>
          <w:b/>
          <w:bCs/>
          <w:sz w:val="28"/>
          <w:szCs w:val="28"/>
          <w:lang w:bidi="ar-DZ"/>
        </w:rPr>
        <w:t>Mesure</w:t>
      </w:r>
      <w:r w:rsidR="00E66615">
        <w:rPr>
          <w:b/>
          <w:bCs/>
          <w:sz w:val="28"/>
          <w:szCs w:val="28"/>
          <w:lang w:bidi="ar-DZ"/>
        </w:rPr>
        <w:t xml:space="preserve"> </w:t>
      </w:r>
      <w:r>
        <w:rPr>
          <w:b/>
          <w:bCs/>
          <w:sz w:val="28"/>
          <w:szCs w:val="28"/>
          <w:lang w:bidi="ar-DZ"/>
        </w:rPr>
        <w:t>-</w:t>
      </w:r>
      <w:r>
        <w:rPr>
          <w:rFonts w:hint="cs"/>
          <w:b/>
          <w:bCs/>
          <w:sz w:val="28"/>
          <w:szCs w:val="28"/>
          <w:rtl/>
          <w:lang w:bidi="ar-DZ"/>
        </w:rPr>
        <w:t xml:space="preserve"> تدبير</w:t>
      </w:r>
    </w:p>
    <w:p w:rsidR="00AF6770" w:rsidRDefault="00AF6770" w:rsidP="00AF6770">
      <w:pPr>
        <w:pStyle w:val="Paragraphedeliste"/>
        <w:jc w:val="center"/>
        <w:rPr>
          <w:b/>
          <w:bCs/>
          <w:sz w:val="28"/>
          <w:szCs w:val="28"/>
          <w:lang w:bidi="ar-DZ"/>
        </w:rPr>
      </w:pPr>
      <w:r>
        <w:rPr>
          <w:b/>
          <w:bCs/>
          <w:sz w:val="28"/>
          <w:szCs w:val="28"/>
          <w:lang w:bidi="ar-DZ"/>
        </w:rPr>
        <w:t>Actes réglementaires</w:t>
      </w:r>
      <w:r w:rsidR="00E66615">
        <w:rPr>
          <w:b/>
          <w:bCs/>
          <w:sz w:val="28"/>
          <w:szCs w:val="28"/>
          <w:lang w:bidi="ar-DZ"/>
        </w:rPr>
        <w:t xml:space="preserve"> </w:t>
      </w:r>
      <w:r>
        <w:rPr>
          <w:b/>
          <w:bCs/>
          <w:sz w:val="28"/>
          <w:szCs w:val="28"/>
          <w:lang w:bidi="ar-DZ"/>
        </w:rPr>
        <w:t>-</w:t>
      </w:r>
      <w:r>
        <w:rPr>
          <w:rFonts w:hint="cs"/>
          <w:b/>
          <w:bCs/>
          <w:sz w:val="28"/>
          <w:szCs w:val="28"/>
          <w:rtl/>
          <w:lang w:bidi="ar-DZ"/>
        </w:rPr>
        <w:t>عمل تنظيمي</w:t>
      </w:r>
    </w:p>
    <w:p w:rsidR="00AF6770" w:rsidRDefault="00AF6770" w:rsidP="00AF6770">
      <w:pPr>
        <w:pStyle w:val="Paragraphedeliste"/>
        <w:jc w:val="center"/>
        <w:rPr>
          <w:b/>
          <w:bCs/>
          <w:sz w:val="28"/>
          <w:szCs w:val="28"/>
          <w:rtl/>
          <w:lang w:bidi="ar-DZ"/>
        </w:rPr>
      </w:pPr>
      <w:r>
        <w:rPr>
          <w:b/>
          <w:bCs/>
          <w:sz w:val="28"/>
          <w:szCs w:val="28"/>
          <w:lang w:bidi="ar-DZ"/>
        </w:rPr>
        <w:t>Position institutionnelle</w:t>
      </w:r>
      <w:r w:rsidR="00721F69">
        <w:rPr>
          <w:b/>
          <w:bCs/>
          <w:sz w:val="28"/>
          <w:szCs w:val="28"/>
          <w:lang w:bidi="ar-DZ"/>
        </w:rPr>
        <w:t xml:space="preserve"> </w:t>
      </w:r>
      <w:r>
        <w:rPr>
          <w:b/>
          <w:bCs/>
          <w:sz w:val="28"/>
          <w:szCs w:val="28"/>
          <w:lang w:bidi="ar-DZ"/>
        </w:rPr>
        <w:t>-</w:t>
      </w:r>
      <w:r w:rsidR="00E66615">
        <w:rPr>
          <w:b/>
          <w:bCs/>
          <w:sz w:val="28"/>
          <w:szCs w:val="28"/>
          <w:lang w:bidi="ar-DZ"/>
        </w:rPr>
        <w:t xml:space="preserve"> </w:t>
      </w:r>
      <w:r w:rsidR="00E66615">
        <w:rPr>
          <w:rFonts w:hint="cs"/>
          <w:b/>
          <w:bCs/>
          <w:sz w:val="28"/>
          <w:szCs w:val="28"/>
          <w:rtl/>
          <w:lang w:bidi="ar-DZ"/>
        </w:rPr>
        <w:t>موقف مؤسسي</w:t>
      </w:r>
    </w:p>
    <w:p w:rsidR="00AF6770" w:rsidRDefault="00AF6770" w:rsidP="00AF6770">
      <w:pPr>
        <w:pStyle w:val="Paragraphedeliste"/>
        <w:jc w:val="center"/>
        <w:rPr>
          <w:b/>
          <w:bCs/>
          <w:sz w:val="28"/>
          <w:szCs w:val="28"/>
          <w:lang w:bidi="ar-DZ"/>
        </w:rPr>
      </w:pPr>
      <w:r>
        <w:rPr>
          <w:b/>
          <w:bCs/>
          <w:sz w:val="28"/>
          <w:szCs w:val="28"/>
          <w:lang w:bidi="ar-DZ"/>
        </w:rPr>
        <w:t>Ratifier</w:t>
      </w:r>
      <w:r w:rsidR="00E66615">
        <w:rPr>
          <w:b/>
          <w:bCs/>
          <w:sz w:val="28"/>
          <w:szCs w:val="28"/>
          <w:lang w:bidi="ar-DZ"/>
        </w:rPr>
        <w:t xml:space="preserve"> </w:t>
      </w:r>
      <w:r>
        <w:rPr>
          <w:b/>
          <w:bCs/>
          <w:sz w:val="28"/>
          <w:szCs w:val="28"/>
          <w:lang w:bidi="ar-DZ"/>
        </w:rPr>
        <w:t>-</w:t>
      </w:r>
      <w:r w:rsidR="00E66615">
        <w:rPr>
          <w:b/>
          <w:bCs/>
          <w:sz w:val="28"/>
          <w:szCs w:val="28"/>
          <w:lang w:bidi="ar-DZ"/>
        </w:rPr>
        <w:t xml:space="preserve"> </w:t>
      </w:r>
      <w:r>
        <w:rPr>
          <w:rFonts w:hint="cs"/>
          <w:b/>
          <w:bCs/>
          <w:sz w:val="28"/>
          <w:szCs w:val="28"/>
          <w:rtl/>
          <w:lang w:bidi="ar-DZ"/>
        </w:rPr>
        <w:t xml:space="preserve"> مصادقة</w:t>
      </w:r>
    </w:p>
    <w:p w:rsidR="00AF6770" w:rsidRDefault="00AF6770" w:rsidP="00AF6770">
      <w:pPr>
        <w:pStyle w:val="Paragraphedeliste"/>
        <w:jc w:val="center"/>
        <w:rPr>
          <w:b/>
          <w:bCs/>
          <w:sz w:val="28"/>
          <w:szCs w:val="28"/>
          <w:lang w:bidi="ar-DZ"/>
        </w:rPr>
      </w:pPr>
      <w:r>
        <w:rPr>
          <w:b/>
          <w:bCs/>
          <w:sz w:val="28"/>
          <w:szCs w:val="28"/>
          <w:lang w:bidi="ar-DZ"/>
        </w:rPr>
        <w:t>Promulgué</w:t>
      </w:r>
      <w:r w:rsidR="00E66615">
        <w:rPr>
          <w:b/>
          <w:bCs/>
          <w:sz w:val="28"/>
          <w:szCs w:val="28"/>
          <w:lang w:bidi="ar-DZ"/>
        </w:rPr>
        <w:t xml:space="preserve"> </w:t>
      </w:r>
      <w:r>
        <w:rPr>
          <w:b/>
          <w:bCs/>
          <w:sz w:val="28"/>
          <w:szCs w:val="28"/>
          <w:lang w:bidi="ar-DZ"/>
        </w:rPr>
        <w:t>-</w:t>
      </w:r>
      <w:r w:rsidR="00E66615">
        <w:rPr>
          <w:b/>
          <w:bCs/>
          <w:sz w:val="28"/>
          <w:szCs w:val="28"/>
          <w:lang w:bidi="ar-DZ"/>
        </w:rPr>
        <w:t xml:space="preserve"> </w:t>
      </w:r>
      <w:r>
        <w:rPr>
          <w:rFonts w:hint="cs"/>
          <w:b/>
          <w:bCs/>
          <w:sz w:val="28"/>
          <w:szCs w:val="28"/>
          <w:rtl/>
          <w:lang w:bidi="ar-DZ"/>
        </w:rPr>
        <w:t>نشر، إصدار، إعلان</w:t>
      </w:r>
    </w:p>
    <w:p w:rsidR="00AF6770" w:rsidRPr="00AF6770" w:rsidRDefault="00AF6770" w:rsidP="00AF6770">
      <w:pPr>
        <w:pStyle w:val="Paragraphedeliste"/>
        <w:rPr>
          <w:b/>
          <w:bCs/>
          <w:sz w:val="28"/>
          <w:szCs w:val="28"/>
          <w:lang w:bidi="ar-DZ"/>
        </w:rPr>
      </w:pPr>
    </w:p>
    <w:p w:rsidR="00D575E9" w:rsidRPr="00D575E9" w:rsidRDefault="00D575E9" w:rsidP="00D575E9">
      <w:pPr>
        <w:rPr>
          <w:sz w:val="28"/>
          <w:szCs w:val="28"/>
        </w:rPr>
      </w:pPr>
    </w:p>
    <w:sectPr w:rsidR="00D575E9" w:rsidRPr="00D575E9" w:rsidSect="00A122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useFELayout/>
  </w:compat>
  <w:rsids>
    <w:rsidRoot w:val="00D575E9"/>
    <w:rsid w:val="000756C7"/>
    <w:rsid w:val="00204E50"/>
    <w:rsid w:val="003747CD"/>
    <w:rsid w:val="003A539C"/>
    <w:rsid w:val="003B62AC"/>
    <w:rsid w:val="004C73BF"/>
    <w:rsid w:val="00517DE4"/>
    <w:rsid w:val="00562459"/>
    <w:rsid w:val="0059359D"/>
    <w:rsid w:val="00664C6E"/>
    <w:rsid w:val="007218E7"/>
    <w:rsid w:val="00721F69"/>
    <w:rsid w:val="007701DD"/>
    <w:rsid w:val="00876C0C"/>
    <w:rsid w:val="00A12288"/>
    <w:rsid w:val="00AF6770"/>
    <w:rsid w:val="00B6141C"/>
    <w:rsid w:val="00B710B0"/>
    <w:rsid w:val="00B8526A"/>
    <w:rsid w:val="00D10AE5"/>
    <w:rsid w:val="00D3744C"/>
    <w:rsid w:val="00D575E9"/>
    <w:rsid w:val="00E43207"/>
    <w:rsid w:val="00E66615"/>
    <w:rsid w:val="00EB3783"/>
    <w:rsid w:val="00F151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141C"/>
    <w:pPr>
      <w:ind w:left="720"/>
      <w:contextualSpacing/>
    </w:pPr>
  </w:style>
</w:styles>
</file>

<file path=word/webSettings.xml><?xml version="1.0" encoding="utf-8"?>
<w:webSettings xmlns:r="http://schemas.openxmlformats.org/officeDocument/2006/relationships" xmlns:w="http://schemas.openxmlformats.org/wordprocessingml/2006/main">
  <w:divs>
    <w:div w:id="18780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428</Words>
  <Characters>2359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2022-11-06T12:58:00Z</dcterms:created>
  <dcterms:modified xsi:type="dcterms:W3CDTF">2022-11-19T18:51:00Z</dcterms:modified>
</cp:coreProperties>
</file>