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8E" w:rsidRPr="001E337E" w:rsidRDefault="00CC13A4">
      <w:pPr>
        <w:rPr>
          <w:b/>
          <w:bCs/>
          <w:sz w:val="28"/>
          <w:szCs w:val="28"/>
        </w:rPr>
      </w:pPr>
      <w:r w:rsidRPr="001E337E">
        <w:rPr>
          <w:b/>
          <w:bCs/>
          <w:sz w:val="28"/>
          <w:szCs w:val="28"/>
        </w:rPr>
        <w:t>Cours numéro 05</w:t>
      </w:r>
    </w:p>
    <w:p w:rsidR="00CC13A4" w:rsidRDefault="00E67B80" w:rsidP="00CC13A4">
      <w:pPr>
        <w:jc w:val="center"/>
        <w:rPr>
          <w:b/>
          <w:bCs/>
          <w:sz w:val="28"/>
          <w:szCs w:val="28"/>
        </w:rPr>
      </w:pPr>
      <w:r w:rsidRPr="001E337E">
        <w:rPr>
          <w:b/>
          <w:bCs/>
          <w:sz w:val="28"/>
          <w:szCs w:val="28"/>
        </w:rPr>
        <w:t>Le conseil d’E</w:t>
      </w:r>
      <w:r w:rsidR="00CC13A4" w:rsidRPr="001E337E">
        <w:rPr>
          <w:b/>
          <w:bCs/>
          <w:sz w:val="28"/>
          <w:szCs w:val="28"/>
        </w:rPr>
        <w:t>tat</w:t>
      </w:r>
    </w:p>
    <w:p w:rsidR="001E337E" w:rsidRPr="001E337E" w:rsidRDefault="001E337E" w:rsidP="00CC13A4">
      <w:pPr>
        <w:jc w:val="center"/>
        <w:rPr>
          <w:b/>
          <w:bCs/>
          <w:sz w:val="28"/>
          <w:szCs w:val="28"/>
          <w:rtl/>
          <w:lang w:bidi="ar-DZ"/>
        </w:rPr>
      </w:pPr>
      <w:r>
        <w:rPr>
          <w:rFonts w:hint="cs"/>
          <w:b/>
          <w:bCs/>
          <w:sz w:val="28"/>
          <w:szCs w:val="28"/>
          <w:rtl/>
          <w:lang w:bidi="ar-DZ"/>
        </w:rPr>
        <w:t>مجلس الدولة</w:t>
      </w:r>
    </w:p>
    <w:p w:rsidR="002678EA" w:rsidRDefault="002678EA" w:rsidP="002678EA">
      <w:pPr>
        <w:rPr>
          <w:b/>
          <w:bCs/>
          <w:sz w:val="28"/>
          <w:szCs w:val="28"/>
          <w:rtl/>
        </w:rPr>
      </w:pPr>
      <w:r w:rsidRPr="001E337E">
        <w:rPr>
          <w:b/>
          <w:bCs/>
          <w:sz w:val="28"/>
          <w:szCs w:val="28"/>
        </w:rPr>
        <w:t>1- le cadre juridique</w:t>
      </w:r>
    </w:p>
    <w:p w:rsidR="001E337E" w:rsidRPr="001E337E" w:rsidRDefault="001E337E" w:rsidP="002678EA">
      <w:pPr>
        <w:rPr>
          <w:b/>
          <w:bCs/>
          <w:sz w:val="28"/>
          <w:szCs w:val="28"/>
        </w:rPr>
      </w:pPr>
      <w:proofErr w:type="gramStart"/>
      <w:r>
        <w:rPr>
          <w:rFonts w:hint="cs"/>
          <w:b/>
          <w:bCs/>
          <w:sz w:val="28"/>
          <w:szCs w:val="28"/>
          <w:rtl/>
        </w:rPr>
        <w:t>التنظيم</w:t>
      </w:r>
      <w:proofErr w:type="gramEnd"/>
      <w:r>
        <w:rPr>
          <w:rFonts w:hint="cs"/>
          <w:b/>
          <w:bCs/>
          <w:sz w:val="28"/>
          <w:szCs w:val="28"/>
          <w:rtl/>
        </w:rPr>
        <w:t xml:space="preserve"> القضائي        </w:t>
      </w:r>
    </w:p>
    <w:p w:rsidR="002678EA" w:rsidRDefault="002678EA" w:rsidP="002678EA">
      <w:pPr>
        <w:pStyle w:val="Paragraphedeliste"/>
        <w:numPr>
          <w:ilvl w:val="0"/>
          <w:numId w:val="1"/>
        </w:numPr>
        <w:rPr>
          <w:sz w:val="28"/>
          <w:szCs w:val="28"/>
        </w:rPr>
      </w:pPr>
      <w:r>
        <w:rPr>
          <w:sz w:val="28"/>
          <w:szCs w:val="28"/>
        </w:rPr>
        <w:t>La loi organique numéro 11/12 du 26 juillet 2011 modifiant et complétant la loi organique numéro 98/01 du 30 mai 1998 relative aux compétences, à l’organisation et au fonctionnement du conseil d’</w:t>
      </w:r>
      <w:r w:rsidR="00E67B80">
        <w:rPr>
          <w:sz w:val="28"/>
          <w:szCs w:val="28"/>
        </w:rPr>
        <w:t>E</w:t>
      </w:r>
      <w:r>
        <w:rPr>
          <w:sz w:val="28"/>
          <w:szCs w:val="28"/>
        </w:rPr>
        <w:t>tat.</w:t>
      </w:r>
    </w:p>
    <w:p w:rsidR="002678EA" w:rsidRDefault="002678EA" w:rsidP="002678EA">
      <w:pPr>
        <w:rPr>
          <w:b/>
          <w:bCs/>
          <w:sz w:val="28"/>
          <w:szCs w:val="28"/>
          <w:rtl/>
        </w:rPr>
      </w:pPr>
      <w:r w:rsidRPr="001E337E">
        <w:rPr>
          <w:b/>
          <w:bCs/>
          <w:sz w:val="28"/>
          <w:szCs w:val="28"/>
        </w:rPr>
        <w:t>2- les prérogatives judiciaires</w:t>
      </w:r>
    </w:p>
    <w:p w:rsidR="001E337E" w:rsidRPr="001E337E" w:rsidRDefault="001E337E" w:rsidP="002678EA">
      <w:pPr>
        <w:rPr>
          <w:b/>
          <w:bCs/>
          <w:sz w:val="28"/>
          <w:szCs w:val="28"/>
        </w:rPr>
      </w:pPr>
      <w:proofErr w:type="gramStart"/>
      <w:r>
        <w:rPr>
          <w:rFonts w:hint="cs"/>
          <w:b/>
          <w:bCs/>
          <w:sz w:val="28"/>
          <w:szCs w:val="28"/>
          <w:rtl/>
        </w:rPr>
        <w:t>الصلاحيات</w:t>
      </w:r>
      <w:proofErr w:type="gramEnd"/>
      <w:r>
        <w:rPr>
          <w:rFonts w:hint="cs"/>
          <w:b/>
          <w:bCs/>
          <w:sz w:val="28"/>
          <w:szCs w:val="28"/>
          <w:rtl/>
        </w:rPr>
        <w:t xml:space="preserve"> القضائية            </w:t>
      </w:r>
    </w:p>
    <w:p w:rsidR="002678EA" w:rsidRDefault="002678EA" w:rsidP="002678EA">
      <w:pPr>
        <w:pStyle w:val="Paragraphedeliste"/>
        <w:numPr>
          <w:ilvl w:val="0"/>
          <w:numId w:val="1"/>
        </w:numPr>
        <w:rPr>
          <w:sz w:val="28"/>
          <w:szCs w:val="28"/>
        </w:rPr>
      </w:pPr>
      <w:r>
        <w:rPr>
          <w:sz w:val="28"/>
          <w:szCs w:val="28"/>
        </w:rPr>
        <w:t>Le conseil d’</w:t>
      </w:r>
      <w:r w:rsidR="00E67B80">
        <w:rPr>
          <w:sz w:val="28"/>
          <w:szCs w:val="28"/>
        </w:rPr>
        <w:t>E</w:t>
      </w:r>
      <w:r>
        <w:rPr>
          <w:sz w:val="28"/>
          <w:szCs w:val="28"/>
        </w:rPr>
        <w:t>tat est un organe régissant les activités des juridictions administratives, relevant de l’autorité judiciaire, garantissant l’unification de la jurisprudence administrative dans le pays et veillant au respect de la loi.</w:t>
      </w:r>
    </w:p>
    <w:p w:rsidR="002678EA" w:rsidRDefault="002678EA" w:rsidP="002678EA">
      <w:pPr>
        <w:pStyle w:val="Paragraphedeliste"/>
        <w:numPr>
          <w:ilvl w:val="0"/>
          <w:numId w:val="1"/>
        </w:numPr>
        <w:rPr>
          <w:sz w:val="28"/>
          <w:szCs w:val="28"/>
        </w:rPr>
      </w:pPr>
      <w:r>
        <w:rPr>
          <w:sz w:val="28"/>
          <w:szCs w:val="28"/>
        </w:rPr>
        <w:t xml:space="preserve">Il est également compétent pour statuer sur les appels formés contre les jugements et ordonnances rendus par les tribunaux administratifs, de même qu’il statue sur les pourvois en cassation contre les sentences rendues en dernier ressort par les juridictions administratives et il statue sur les affaires qui lui sont confiées en vertu de lois spéciales. </w:t>
      </w:r>
    </w:p>
    <w:p w:rsidR="002678EA" w:rsidRDefault="002678EA" w:rsidP="002678EA">
      <w:pPr>
        <w:ind w:left="360"/>
        <w:rPr>
          <w:b/>
          <w:bCs/>
          <w:sz w:val="28"/>
          <w:szCs w:val="28"/>
          <w:rtl/>
        </w:rPr>
      </w:pPr>
      <w:r w:rsidRPr="001E337E">
        <w:rPr>
          <w:b/>
          <w:bCs/>
          <w:sz w:val="28"/>
          <w:szCs w:val="28"/>
        </w:rPr>
        <w:t>3- compétences à caractères consultatif</w:t>
      </w:r>
    </w:p>
    <w:p w:rsidR="001E337E" w:rsidRPr="001E337E" w:rsidRDefault="001E337E" w:rsidP="002678EA">
      <w:pPr>
        <w:ind w:left="360"/>
        <w:rPr>
          <w:b/>
          <w:bCs/>
          <w:sz w:val="28"/>
          <w:szCs w:val="28"/>
        </w:rPr>
      </w:pPr>
      <w:r>
        <w:rPr>
          <w:rFonts w:hint="cs"/>
          <w:b/>
          <w:bCs/>
          <w:sz w:val="28"/>
          <w:szCs w:val="28"/>
          <w:rtl/>
        </w:rPr>
        <w:t>الاختصاصات ذات الطابع</w:t>
      </w:r>
      <w:r w:rsidR="00FE5A33">
        <w:rPr>
          <w:rFonts w:hint="cs"/>
          <w:b/>
          <w:bCs/>
          <w:sz w:val="28"/>
          <w:szCs w:val="28"/>
          <w:rtl/>
        </w:rPr>
        <w:t xml:space="preserve"> الإستشاري</w:t>
      </w:r>
      <w:r>
        <w:rPr>
          <w:rFonts w:hint="cs"/>
          <w:b/>
          <w:bCs/>
          <w:sz w:val="28"/>
          <w:szCs w:val="28"/>
          <w:rtl/>
        </w:rPr>
        <w:t xml:space="preserve"> </w:t>
      </w:r>
      <w:r w:rsidR="0008167C">
        <w:rPr>
          <w:rFonts w:hint="cs"/>
          <w:b/>
          <w:bCs/>
          <w:sz w:val="28"/>
          <w:szCs w:val="28"/>
          <w:rtl/>
        </w:rPr>
        <w:t xml:space="preserve">           </w:t>
      </w:r>
      <w:r w:rsidR="0008167C">
        <w:rPr>
          <w:rFonts w:hint="cs"/>
          <w:b/>
          <w:bCs/>
          <w:sz w:val="28"/>
          <w:szCs w:val="28"/>
          <w:lang w:bidi="ar-DZ"/>
        </w:rPr>
        <w:t xml:space="preserve"> </w:t>
      </w:r>
      <w:r w:rsidR="0008167C">
        <w:rPr>
          <w:b/>
          <w:bCs/>
          <w:sz w:val="28"/>
          <w:szCs w:val="28"/>
        </w:rPr>
        <w:t xml:space="preserve">    </w:t>
      </w:r>
    </w:p>
    <w:p w:rsidR="002678EA" w:rsidRDefault="002678EA" w:rsidP="002678EA">
      <w:pPr>
        <w:ind w:left="360"/>
        <w:rPr>
          <w:sz w:val="28"/>
          <w:szCs w:val="28"/>
        </w:rPr>
      </w:pPr>
      <w:r>
        <w:rPr>
          <w:sz w:val="28"/>
          <w:szCs w:val="28"/>
        </w:rPr>
        <w:t xml:space="preserve">  Le conseil d’</w:t>
      </w:r>
      <w:r w:rsidR="00E67B80">
        <w:rPr>
          <w:sz w:val="28"/>
          <w:szCs w:val="28"/>
        </w:rPr>
        <w:t>E</w:t>
      </w:r>
      <w:r>
        <w:rPr>
          <w:sz w:val="28"/>
          <w:szCs w:val="28"/>
        </w:rPr>
        <w:t>tat donne son avis sur les projets de loi qui lui sont soumis et propose les modifications qu’il voit nécessaires.</w:t>
      </w:r>
    </w:p>
    <w:p w:rsidR="00E67B80" w:rsidRDefault="00E67B80" w:rsidP="002678EA">
      <w:pPr>
        <w:ind w:left="360"/>
        <w:rPr>
          <w:b/>
          <w:bCs/>
          <w:sz w:val="28"/>
          <w:szCs w:val="28"/>
          <w:rtl/>
        </w:rPr>
      </w:pPr>
      <w:r w:rsidRPr="001E337E">
        <w:rPr>
          <w:b/>
          <w:bCs/>
          <w:sz w:val="28"/>
          <w:szCs w:val="28"/>
        </w:rPr>
        <w:t>4- la composante du conseil d’Etat</w:t>
      </w:r>
    </w:p>
    <w:p w:rsidR="001E337E" w:rsidRPr="001E337E" w:rsidRDefault="001E337E" w:rsidP="002678EA">
      <w:pPr>
        <w:ind w:left="360"/>
        <w:rPr>
          <w:b/>
          <w:bCs/>
          <w:sz w:val="28"/>
          <w:szCs w:val="28"/>
        </w:rPr>
      </w:pPr>
      <w:r>
        <w:rPr>
          <w:rFonts w:hint="cs"/>
          <w:b/>
          <w:bCs/>
          <w:sz w:val="28"/>
          <w:szCs w:val="28"/>
          <w:rtl/>
        </w:rPr>
        <w:t xml:space="preserve">تشكيلة مجلس الدولة            </w:t>
      </w:r>
    </w:p>
    <w:p w:rsidR="00E67B80" w:rsidRDefault="00E67B80" w:rsidP="00E67B80">
      <w:pPr>
        <w:pStyle w:val="Paragraphedeliste"/>
        <w:numPr>
          <w:ilvl w:val="0"/>
          <w:numId w:val="1"/>
        </w:numPr>
        <w:rPr>
          <w:sz w:val="28"/>
          <w:szCs w:val="28"/>
        </w:rPr>
      </w:pPr>
      <w:r w:rsidRPr="00E67B80">
        <w:rPr>
          <w:sz w:val="28"/>
          <w:szCs w:val="28"/>
        </w:rPr>
        <w:t xml:space="preserve"> Le président du conseil d’Etat</w:t>
      </w:r>
    </w:p>
    <w:p w:rsidR="00E67B80" w:rsidRDefault="00E67B80" w:rsidP="00E67B80">
      <w:pPr>
        <w:pStyle w:val="Paragraphedeliste"/>
        <w:numPr>
          <w:ilvl w:val="0"/>
          <w:numId w:val="1"/>
        </w:numPr>
        <w:rPr>
          <w:sz w:val="28"/>
          <w:szCs w:val="28"/>
        </w:rPr>
      </w:pPr>
      <w:r>
        <w:rPr>
          <w:sz w:val="28"/>
          <w:szCs w:val="28"/>
        </w:rPr>
        <w:t>Le vice président</w:t>
      </w:r>
    </w:p>
    <w:p w:rsidR="00E67B80" w:rsidRDefault="00E67B80" w:rsidP="00E67B80">
      <w:pPr>
        <w:pStyle w:val="Paragraphedeliste"/>
        <w:numPr>
          <w:ilvl w:val="0"/>
          <w:numId w:val="1"/>
        </w:numPr>
        <w:rPr>
          <w:sz w:val="28"/>
          <w:szCs w:val="28"/>
        </w:rPr>
      </w:pPr>
      <w:r>
        <w:rPr>
          <w:sz w:val="28"/>
          <w:szCs w:val="28"/>
        </w:rPr>
        <w:t>Les présidents de chambres</w:t>
      </w:r>
    </w:p>
    <w:p w:rsidR="00E67B80" w:rsidRDefault="00E67B80" w:rsidP="00E67B80">
      <w:pPr>
        <w:pStyle w:val="Paragraphedeliste"/>
        <w:numPr>
          <w:ilvl w:val="0"/>
          <w:numId w:val="1"/>
        </w:numPr>
        <w:rPr>
          <w:sz w:val="28"/>
          <w:szCs w:val="28"/>
        </w:rPr>
      </w:pPr>
      <w:r>
        <w:rPr>
          <w:sz w:val="28"/>
          <w:szCs w:val="28"/>
        </w:rPr>
        <w:lastRenderedPageBreak/>
        <w:t>Les présidents de sections</w:t>
      </w:r>
    </w:p>
    <w:p w:rsidR="00E67B80" w:rsidRDefault="00E67B80" w:rsidP="00E67B80">
      <w:pPr>
        <w:pStyle w:val="Paragraphedeliste"/>
        <w:numPr>
          <w:ilvl w:val="0"/>
          <w:numId w:val="1"/>
        </w:numPr>
        <w:rPr>
          <w:sz w:val="28"/>
          <w:szCs w:val="28"/>
        </w:rPr>
      </w:pPr>
      <w:r>
        <w:rPr>
          <w:sz w:val="28"/>
          <w:szCs w:val="28"/>
        </w:rPr>
        <w:t>Le commissaire d’Etat</w:t>
      </w:r>
    </w:p>
    <w:p w:rsidR="00E67B80" w:rsidRDefault="00E67B80" w:rsidP="00E67B80">
      <w:pPr>
        <w:pStyle w:val="Paragraphedeliste"/>
        <w:numPr>
          <w:ilvl w:val="0"/>
          <w:numId w:val="1"/>
        </w:numPr>
        <w:rPr>
          <w:sz w:val="28"/>
          <w:szCs w:val="28"/>
        </w:rPr>
      </w:pPr>
      <w:r>
        <w:rPr>
          <w:sz w:val="28"/>
          <w:szCs w:val="28"/>
        </w:rPr>
        <w:t>Les commissaires d’Etat adjoints</w:t>
      </w:r>
    </w:p>
    <w:p w:rsidR="00E67B80" w:rsidRDefault="00E67B80" w:rsidP="00E67B80">
      <w:pPr>
        <w:ind w:left="360"/>
        <w:rPr>
          <w:b/>
          <w:bCs/>
          <w:sz w:val="28"/>
          <w:szCs w:val="28"/>
          <w:rtl/>
        </w:rPr>
      </w:pPr>
      <w:r w:rsidRPr="001E337E">
        <w:rPr>
          <w:b/>
          <w:bCs/>
          <w:sz w:val="28"/>
          <w:szCs w:val="28"/>
        </w:rPr>
        <w:t>5- les missions du président du conseil d’Etat</w:t>
      </w:r>
    </w:p>
    <w:p w:rsidR="001E337E" w:rsidRPr="001E337E" w:rsidRDefault="001E337E" w:rsidP="00E67B80">
      <w:pPr>
        <w:ind w:left="360"/>
        <w:rPr>
          <w:b/>
          <w:bCs/>
          <w:sz w:val="28"/>
          <w:szCs w:val="28"/>
        </w:rPr>
      </w:pPr>
      <w:r>
        <w:rPr>
          <w:rFonts w:hint="cs"/>
          <w:b/>
          <w:bCs/>
          <w:sz w:val="28"/>
          <w:szCs w:val="28"/>
          <w:rtl/>
        </w:rPr>
        <w:t xml:space="preserve">مهام رئيس مجلس الدولة                  </w:t>
      </w:r>
    </w:p>
    <w:p w:rsidR="00E67B80" w:rsidRDefault="00E67B80" w:rsidP="00E67B80">
      <w:pPr>
        <w:ind w:left="360"/>
        <w:rPr>
          <w:sz w:val="28"/>
          <w:szCs w:val="28"/>
        </w:rPr>
      </w:pPr>
      <w:r>
        <w:rPr>
          <w:sz w:val="28"/>
          <w:szCs w:val="28"/>
        </w:rPr>
        <w:t xml:space="preserve">  Il représente le conseil d’Etat au plan officiel et est chargé notamment</w:t>
      </w:r>
    </w:p>
    <w:p w:rsidR="00E67B80" w:rsidRDefault="00E67B80" w:rsidP="00E67B80">
      <w:pPr>
        <w:pStyle w:val="Paragraphedeliste"/>
        <w:numPr>
          <w:ilvl w:val="0"/>
          <w:numId w:val="1"/>
        </w:numPr>
        <w:rPr>
          <w:sz w:val="28"/>
          <w:szCs w:val="28"/>
        </w:rPr>
      </w:pPr>
      <w:r>
        <w:rPr>
          <w:sz w:val="28"/>
          <w:szCs w:val="28"/>
        </w:rPr>
        <w:t>De veiller à l’app</w:t>
      </w:r>
      <w:r w:rsidR="00FE5A33">
        <w:rPr>
          <w:sz w:val="28"/>
          <w:szCs w:val="28"/>
        </w:rPr>
        <w:t>lication de règlement intérieur ;</w:t>
      </w:r>
    </w:p>
    <w:p w:rsidR="00E67B80" w:rsidRDefault="00E67B80" w:rsidP="00E67B80">
      <w:pPr>
        <w:pStyle w:val="Paragraphedeliste"/>
        <w:numPr>
          <w:ilvl w:val="0"/>
          <w:numId w:val="1"/>
        </w:numPr>
        <w:rPr>
          <w:sz w:val="28"/>
          <w:szCs w:val="28"/>
        </w:rPr>
      </w:pPr>
      <w:r>
        <w:rPr>
          <w:sz w:val="28"/>
          <w:szCs w:val="28"/>
        </w:rPr>
        <w:t>De répartir les taches aux président de chambres, aux président de sections et aux conseillers d’Etat, après avis du barreau ;</w:t>
      </w:r>
    </w:p>
    <w:p w:rsidR="00E67B80" w:rsidRDefault="00E67B80" w:rsidP="00E67B80">
      <w:pPr>
        <w:pStyle w:val="Paragraphedeliste"/>
        <w:numPr>
          <w:ilvl w:val="0"/>
          <w:numId w:val="1"/>
        </w:numPr>
        <w:rPr>
          <w:sz w:val="28"/>
          <w:szCs w:val="28"/>
        </w:rPr>
      </w:pPr>
      <w:r>
        <w:rPr>
          <w:sz w:val="28"/>
          <w:szCs w:val="28"/>
        </w:rPr>
        <w:t>De présider toute chambre du conseil d’Etat, le cas échéant ;</w:t>
      </w:r>
    </w:p>
    <w:p w:rsidR="00E67B80" w:rsidRDefault="00E67B80" w:rsidP="00E67B80">
      <w:pPr>
        <w:pStyle w:val="Paragraphedeliste"/>
        <w:numPr>
          <w:ilvl w:val="0"/>
          <w:numId w:val="1"/>
        </w:numPr>
        <w:rPr>
          <w:sz w:val="28"/>
          <w:szCs w:val="28"/>
        </w:rPr>
      </w:pPr>
      <w:r>
        <w:rPr>
          <w:sz w:val="28"/>
          <w:szCs w:val="28"/>
        </w:rPr>
        <w:t>De présider la chambre réunie en dynamisant et coordonnant les chambres, le greffe, les sections et les services administratifs ;</w:t>
      </w:r>
    </w:p>
    <w:p w:rsidR="00E67B80" w:rsidRDefault="00E67B80" w:rsidP="00E67B80">
      <w:pPr>
        <w:pStyle w:val="Paragraphedeliste"/>
        <w:numPr>
          <w:ilvl w:val="0"/>
          <w:numId w:val="1"/>
        </w:numPr>
        <w:rPr>
          <w:sz w:val="28"/>
          <w:szCs w:val="28"/>
        </w:rPr>
      </w:pPr>
      <w:r>
        <w:rPr>
          <w:sz w:val="28"/>
          <w:szCs w:val="28"/>
        </w:rPr>
        <w:t>De prendre les mesures qui garantissent le bon fonctionnement du conseil d’Etat</w:t>
      </w:r>
    </w:p>
    <w:p w:rsidR="00E67B80" w:rsidRDefault="00E67B80" w:rsidP="00E67B80">
      <w:pPr>
        <w:ind w:left="360"/>
        <w:rPr>
          <w:b/>
          <w:bCs/>
          <w:sz w:val="28"/>
          <w:szCs w:val="28"/>
          <w:rtl/>
        </w:rPr>
      </w:pPr>
      <w:r w:rsidRPr="001E337E">
        <w:rPr>
          <w:b/>
          <w:bCs/>
          <w:sz w:val="28"/>
          <w:szCs w:val="28"/>
        </w:rPr>
        <w:t>6- les missions du commissaire d’Etat</w:t>
      </w:r>
    </w:p>
    <w:p w:rsidR="001E337E" w:rsidRPr="001E337E" w:rsidRDefault="001E337E" w:rsidP="00E67B80">
      <w:pPr>
        <w:ind w:left="360"/>
        <w:rPr>
          <w:b/>
          <w:bCs/>
          <w:sz w:val="28"/>
          <w:szCs w:val="28"/>
        </w:rPr>
      </w:pPr>
      <w:r>
        <w:rPr>
          <w:rFonts w:hint="cs"/>
          <w:b/>
          <w:bCs/>
          <w:sz w:val="28"/>
          <w:szCs w:val="28"/>
          <w:rtl/>
        </w:rPr>
        <w:t xml:space="preserve">مهام محافظ الدولة                  </w:t>
      </w:r>
    </w:p>
    <w:p w:rsidR="00E67B80" w:rsidRDefault="00E67B80" w:rsidP="00E67B80">
      <w:pPr>
        <w:ind w:left="360"/>
        <w:rPr>
          <w:sz w:val="28"/>
          <w:szCs w:val="28"/>
        </w:rPr>
      </w:pPr>
      <w:r>
        <w:rPr>
          <w:sz w:val="28"/>
          <w:szCs w:val="28"/>
        </w:rPr>
        <w:t>-</w:t>
      </w:r>
      <w:r w:rsidR="008A45F8">
        <w:rPr>
          <w:sz w:val="28"/>
          <w:szCs w:val="28"/>
        </w:rPr>
        <w:t xml:space="preserve"> </w:t>
      </w:r>
      <w:r>
        <w:rPr>
          <w:sz w:val="28"/>
          <w:szCs w:val="28"/>
        </w:rPr>
        <w:t xml:space="preserve">présenter les demandes de </w:t>
      </w:r>
      <w:r w:rsidR="008A45F8">
        <w:rPr>
          <w:sz w:val="28"/>
          <w:szCs w:val="28"/>
        </w:rPr>
        <w:t>requêtes</w:t>
      </w:r>
      <w:r>
        <w:rPr>
          <w:sz w:val="28"/>
          <w:szCs w:val="28"/>
        </w:rPr>
        <w:t xml:space="preserve"> dans les affaires soumises au conseil d’Etat.</w:t>
      </w:r>
    </w:p>
    <w:p w:rsidR="008A45F8" w:rsidRDefault="008A45F8" w:rsidP="00E67B80">
      <w:pPr>
        <w:ind w:left="360"/>
        <w:rPr>
          <w:sz w:val="28"/>
          <w:szCs w:val="28"/>
        </w:rPr>
      </w:pPr>
      <w:r>
        <w:rPr>
          <w:sz w:val="28"/>
          <w:szCs w:val="28"/>
        </w:rPr>
        <w:t>- dynamiser, contrôler et coordonner les actions du commissaire d’Etat et des services y relevant.</w:t>
      </w:r>
    </w:p>
    <w:p w:rsidR="008A45F8" w:rsidRDefault="008A45F8" w:rsidP="00E67B80">
      <w:pPr>
        <w:ind w:left="360"/>
        <w:rPr>
          <w:sz w:val="28"/>
          <w:szCs w:val="28"/>
        </w:rPr>
      </w:pPr>
      <w:r>
        <w:rPr>
          <w:sz w:val="28"/>
          <w:szCs w:val="28"/>
        </w:rPr>
        <w:t>- exercer son autorité pacifique sur les magistrats du conseil d’Etat.</w:t>
      </w:r>
    </w:p>
    <w:p w:rsidR="008A45F8" w:rsidRDefault="008A45F8" w:rsidP="00E67B80">
      <w:pPr>
        <w:ind w:left="360"/>
        <w:rPr>
          <w:sz w:val="28"/>
          <w:szCs w:val="28"/>
        </w:rPr>
      </w:pPr>
      <w:r>
        <w:rPr>
          <w:sz w:val="28"/>
          <w:szCs w:val="28"/>
        </w:rPr>
        <w:t>- exercer son autorité pacifique et disciplinaire sur les personnels du commissaire d’Etat.</w:t>
      </w:r>
    </w:p>
    <w:p w:rsidR="008A45F8" w:rsidRDefault="008A45F8" w:rsidP="00E67B80">
      <w:pPr>
        <w:ind w:left="360"/>
        <w:rPr>
          <w:sz w:val="28"/>
          <w:szCs w:val="28"/>
        </w:rPr>
      </w:pPr>
      <w:r>
        <w:rPr>
          <w:sz w:val="28"/>
          <w:szCs w:val="28"/>
        </w:rPr>
        <w:t xml:space="preserve">  Le conseil d’Etat tient ses audiences sous forme de chambres réunies, de chambres et de sections.</w:t>
      </w:r>
    </w:p>
    <w:p w:rsidR="008A45F8" w:rsidRDefault="008A45F8" w:rsidP="008A45F8">
      <w:pPr>
        <w:pStyle w:val="Paragraphedeliste"/>
        <w:numPr>
          <w:ilvl w:val="0"/>
          <w:numId w:val="1"/>
        </w:numPr>
        <w:rPr>
          <w:sz w:val="28"/>
          <w:szCs w:val="28"/>
        </w:rPr>
      </w:pPr>
      <w:r>
        <w:rPr>
          <w:sz w:val="28"/>
          <w:szCs w:val="28"/>
        </w:rPr>
        <w:t>Il se réuni en chambres réunies dans le cas ou la décision prise représente un recul de jurisprudence, il est formé dans ce cas du président du conseil d’Etat, du vice président, des présidents de chambres et des doyens des présidents de sections.</w:t>
      </w:r>
    </w:p>
    <w:p w:rsidR="008A45F8" w:rsidRDefault="008A45F8" w:rsidP="008A45F8">
      <w:pPr>
        <w:pStyle w:val="Paragraphedeliste"/>
        <w:numPr>
          <w:ilvl w:val="0"/>
          <w:numId w:val="1"/>
        </w:numPr>
        <w:rPr>
          <w:sz w:val="28"/>
          <w:szCs w:val="28"/>
        </w:rPr>
      </w:pPr>
      <w:r>
        <w:rPr>
          <w:sz w:val="28"/>
          <w:szCs w:val="28"/>
        </w:rPr>
        <w:lastRenderedPageBreak/>
        <w:t xml:space="preserve">Le </w:t>
      </w:r>
      <w:r w:rsidR="008B4ED6">
        <w:rPr>
          <w:sz w:val="28"/>
          <w:szCs w:val="28"/>
        </w:rPr>
        <w:t>commissaire</w:t>
      </w:r>
      <w:r>
        <w:rPr>
          <w:sz w:val="28"/>
          <w:szCs w:val="28"/>
        </w:rPr>
        <w:t xml:space="preserve"> d’Etat assiste aux audiences de constitution du conseil d’Etat comme chambres réunies et présente ses mémoires. La </w:t>
      </w:r>
      <w:r w:rsidR="008B4ED6">
        <w:rPr>
          <w:sz w:val="28"/>
          <w:szCs w:val="28"/>
        </w:rPr>
        <w:t>présence</w:t>
      </w:r>
      <w:r>
        <w:rPr>
          <w:sz w:val="28"/>
          <w:szCs w:val="28"/>
        </w:rPr>
        <w:t xml:space="preserve"> de la </w:t>
      </w:r>
      <w:r w:rsidR="008B4ED6">
        <w:rPr>
          <w:sz w:val="28"/>
          <w:szCs w:val="28"/>
        </w:rPr>
        <w:t>moitié</w:t>
      </w:r>
      <w:r>
        <w:rPr>
          <w:sz w:val="28"/>
          <w:szCs w:val="28"/>
        </w:rPr>
        <w:t xml:space="preserve"> des membres est obligatoire</w:t>
      </w:r>
      <w:r w:rsidR="008B4ED6">
        <w:rPr>
          <w:sz w:val="28"/>
          <w:szCs w:val="28"/>
        </w:rPr>
        <w:t xml:space="preserve"> pour statuer.</w:t>
      </w:r>
    </w:p>
    <w:p w:rsidR="008B4ED6" w:rsidRDefault="008B4ED6" w:rsidP="008A45F8">
      <w:pPr>
        <w:pStyle w:val="Paragraphedeliste"/>
        <w:numPr>
          <w:ilvl w:val="0"/>
          <w:numId w:val="1"/>
        </w:numPr>
        <w:rPr>
          <w:sz w:val="28"/>
          <w:szCs w:val="28"/>
        </w:rPr>
      </w:pPr>
      <w:r>
        <w:rPr>
          <w:sz w:val="28"/>
          <w:szCs w:val="28"/>
        </w:rPr>
        <w:t>Il tient ses audiences sous forme de chambres et de sections pour statuer dans les affaires qui lui sont soumises, il statue en présence de 3 membres au minimum.</w:t>
      </w:r>
    </w:p>
    <w:p w:rsidR="003F416E" w:rsidRPr="008A45F8" w:rsidRDefault="003F416E" w:rsidP="003F416E">
      <w:pPr>
        <w:pStyle w:val="Paragraphedeliste"/>
        <w:rPr>
          <w:sz w:val="28"/>
          <w:szCs w:val="28"/>
        </w:rPr>
      </w:pPr>
    </w:p>
    <w:p w:rsidR="008A45F8" w:rsidRPr="00E67B80" w:rsidRDefault="008A45F8" w:rsidP="00E67B80">
      <w:pPr>
        <w:ind w:left="360"/>
        <w:rPr>
          <w:sz w:val="28"/>
          <w:szCs w:val="28"/>
        </w:rPr>
      </w:pPr>
    </w:p>
    <w:p w:rsidR="001D6F43" w:rsidRDefault="001D6F43" w:rsidP="001D6F43">
      <w:pPr>
        <w:pStyle w:val="Paragraphedeliste"/>
        <w:jc w:val="center"/>
        <w:rPr>
          <w:b/>
          <w:bCs/>
          <w:sz w:val="28"/>
          <w:szCs w:val="28"/>
          <w:lang w:bidi="ar-DZ"/>
        </w:rPr>
      </w:pPr>
      <w:r>
        <w:rPr>
          <w:b/>
          <w:bCs/>
          <w:sz w:val="28"/>
          <w:szCs w:val="28"/>
          <w:lang w:bidi="ar-DZ"/>
        </w:rPr>
        <w:t xml:space="preserve">Mots et expressions clés  </w:t>
      </w:r>
    </w:p>
    <w:p w:rsidR="00E67B80" w:rsidRPr="00E67B80" w:rsidRDefault="00E67B80" w:rsidP="00E67B80">
      <w:pPr>
        <w:rPr>
          <w:sz w:val="28"/>
          <w:szCs w:val="28"/>
        </w:rPr>
      </w:pPr>
    </w:p>
    <w:p w:rsidR="00CC13A4" w:rsidRPr="003F416E" w:rsidRDefault="003F416E" w:rsidP="003F416E">
      <w:pPr>
        <w:jc w:val="center"/>
        <w:rPr>
          <w:b/>
          <w:bCs/>
          <w:sz w:val="28"/>
          <w:szCs w:val="28"/>
        </w:rPr>
      </w:pPr>
      <w:r w:rsidRPr="003F416E">
        <w:rPr>
          <w:b/>
          <w:bCs/>
          <w:sz w:val="28"/>
          <w:szCs w:val="28"/>
        </w:rPr>
        <w:t xml:space="preserve">Organe – </w:t>
      </w:r>
      <w:r w:rsidRPr="003F416E">
        <w:rPr>
          <w:rFonts w:hint="cs"/>
          <w:b/>
          <w:bCs/>
          <w:sz w:val="28"/>
          <w:szCs w:val="28"/>
          <w:rtl/>
        </w:rPr>
        <w:t>جهاز</w:t>
      </w:r>
    </w:p>
    <w:p w:rsidR="003F416E" w:rsidRPr="003F416E" w:rsidRDefault="003F416E" w:rsidP="003F416E">
      <w:pPr>
        <w:jc w:val="center"/>
        <w:rPr>
          <w:b/>
          <w:bCs/>
          <w:sz w:val="28"/>
          <w:szCs w:val="28"/>
        </w:rPr>
      </w:pPr>
      <w:r w:rsidRPr="003F416E">
        <w:rPr>
          <w:b/>
          <w:bCs/>
          <w:sz w:val="28"/>
          <w:szCs w:val="28"/>
        </w:rPr>
        <w:t>Jurisprudence –</w:t>
      </w:r>
      <w:r>
        <w:rPr>
          <w:b/>
          <w:bCs/>
          <w:sz w:val="28"/>
          <w:szCs w:val="28"/>
        </w:rPr>
        <w:t xml:space="preserve"> </w:t>
      </w:r>
      <w:r w:rsidRPr="003F416E">
        <w:rPr>
          <w:rFonts w:hint="cs"/>
          <w:b/>
          <w:bCs/>
          <w:sz w:val="28"/>
          <w:szCs w:val="28"/>
          <w:rtl/>
        </w:rPr>
        <w:t xml:space="preserve"> الفقه</w:t>
      </w:r>
    </w:p>
    <w:p w:rsidR="003F416E" w:rsidRPr="003F416E" w:rsidRDefault="003F416E" w:rsidP="003F416E">
      <w:pPr>
        <w:jc w:val="center"/>
        <w:rPr>
          <w:b/>
          <w:bCs/>
          <w:sz w:val="28"/>
          <w:szCs w:val="28"/>
        </w:rPr>
      </w:pPr>
      <w:r w:rsidRPr="003F416E">
        <w:rPr>
          <w:b/>
          <w:bCs/>
          <w:sz w:val="28"/>
          <w:szCs w:val="28"/>
        </w:rPr>
        <w:t xml:space="preserve">Pourvoi en cassation – </w:t>
      </w:r>
      <w:r w:rsidRPr="003F416E">
        <w:rPr>
          <w:rFonts w:hint="cs"/>
          <w:b/>
          <w:bCs/>
          <w:sz w:val="28"/>
          <w:szCs w:val="28"/>
          <w:rtl/>
        </w:rPr>
        <w:t>الطعن بالنقض</w:t>
      </w:r>
    </w:p>
    <w:p w:rsidR="003F416E" w:rsidRPr="003F416E" w:rsidRDefault="003F416E" w:rsidP="003F416E">
      <w:pPr>
        <w:jc w:val="center"/>
        <w:rPr>
          <w:b/>
          <w:bCs/>
          <w:sz w:val="28"/>
          <w:szCs w:val="28"/>
        </w:rPr>
      </w:pPr>
      <w:r w:rsidRPr="003F416E">
        <w:rPr>
          <w:b/>
          <w:bCs/>
          <w:sz w:val="28"/>
          <w:szCs w:val="28"/>
        </w:rPr>
        <w:t xml:space="preserve">Sentence – </w:t>
      </w:r>
      <w:r w:rsidRPr="003F416E">
        <w:rPr>
          <w:rFonts w:hint="cs"/>
          <w:b/>
          <w:bCs/>
          <w:sz w:val="28"/>
          <w:szCs w:val="28"/>
          <w:rtl/>
        </w:rPr>
        <w:t>حكم ، قرار</w:t>
      </w:r>
    </w:p>
    <w:p w:rsidR="003F416E" w:rsidRPr="003F416E" w:rsidRDefault="003F416E" w:rsidP="003F416E">
      <w:pPr>
        <w:jc w:val="center"/>
        <w:rPr>
          <w:b/>
          <w:bCs/>
          <w:sz w:val="28"/>
          <w:szCs w:val="28"/>
        </w:rPr>
      </w:pPr>
      <w:r w:rsidRPr="003F416E">
        <w:rPr>
          <w:b/>
          <w:bCs/>
          <w:sz w:val="28"/>
          <w:szCs w:val="28"/>
        </w:rPr>
        <w:t>Chambres réunies –</w:t>
      </w:r>
      <w:r>
        <w:rPr>
          <w:b/>
          <w:bCs/>
          <w:sz w:val="28"/>
          <w:szCs w:val="28"/>
        </w:rPr>
        <w:t xml:space="preserve"> </w:t>
      </w:r>
      <w:r>
        <w:rPr>
          <w:rFonts w:hint="cs"/>
          <w:b/>
          <w:bCs/>
          <w:sz w:val="28"/>
          <w:szCs w:val="28"/>
          <w:rtl/>
        </w:rPr>
        <w:t xml:space="preserve">   </w:t>
      </w:r>
      <w:r w:rsidRPr="003F416E">
        <w:rPr>
          <w:rFonts w:hint="cs"/>
          <w:b/>
          <w:bCs/>
          <w:sz w:val="28"/>
          <w:szCs w:val="28"/>
          <w:rtl/>
        </w:rPr>
        <w:t>غرف مجتمعة</w:t>
      </w:r>
    </w:p>
    <w:p w:rsidR="003F416E" w:rsidRPr="00CC13A4" w:rsidRDefault="003F416E" w:rsidP="003F416E">
      <w:pPr>
        <w:jc w:val="center"/>
        <w:rPr>
          <w:sz w:val="28"/>
          <w:szCs w:val="28"/>
        </w:rPr>
      </w:pPr>
      <w:r w:rsidRPr="003F416E">
        <w:rPr>
          <w:b/>
          <w:bCs/>
          <w:sz w:val="28"/>
          <w:szCs w:val="28"/>
        </w:rPr>
        <w:t>Doyen –</w:t>
      </w:r>
      <w:r w:rsidRPr="003F416E">
        <w:rPr>
          <w:rFonts w:hint="cs"/>
          <w:b/>
          <w:bCs/>
          <w:sz w:val="28"/>
          <w:szCs w:val="28"/>
          <w:rtl/>
        </w:rPr>
        <w:t xml:space="preserve">عميد </w:t>
      </w:r>
    </w:p>
    <w:sectPr w:rsidR="003F416E" w:rsidRPr="00CC13A4" w:rsidSect="00895D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D140F"/>
    <w:multiLevelType w:val="hybridMultilevel"/>
    <w:tmpl w:val="3326816C"/>
    <w:lvl w:ilvl="0" w:tplc="EB20E502">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13A4"/>
    <w:rsid w:val="00002C7B"/>
    <w:rsid w:val="0008167C"/>
    <w:rsid w:val="00100419"/>
    <w:rsid w:val="001D6F43"/>
    <w:rsid w:val="001E337E"/>
    <w:rsid w:val="002678EA"/>
    <w:rsid w:val="00385185"/>
    <w:rsid w:val="003F416E"/>
    <w:rsid w:val="0050437E"/>
    <w:rsid w:val="00895D8E"/>
    <w:rsid w:val="008A45F8"/>
    <w:rsid w:val="008B4ED6"/>
    <w:rsid w:val="00CC13A4"/>
    <w:rsid w:val="00E67B80"/>
    <w:rsid w:val="00FE5A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78EA"/>
    <w:pPr>
      <w:ind w:left="720"/>
      <w:contextualSpacing/>
    </w:pPr>
  </w:style>
</w:styles>
</file>

<file path=word/webSettings.xml><?xml version="1.0" encoding="utf-8"?>
<w:webSettings xmlns:r="http://schemas.openxmlformats.org/officeDocument/2006/relationships" xmlns:w="http://schemas.openxmlformats.org/wordprocessingml/2006/main">
  <w:divs>
    <w:div w:id="17059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2022-11-15T15:46:00Z</dcterms:created>
  <dcterms:modified xsi:type="dcterms:W3CDTF">2022-11-19T19:02:00Z</dcterms:modified>
</cp:coreProperties>
</file>