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الثاني: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تصنيف حقوق الإنسان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بالرجوع الى معيار أسلوب ممارسة الحقوق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والحريات،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يعتمد التصنيف الأكثر شيوعا فكرة التمييز بين الحقوق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الفردية،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والحقوق والحريات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الجماعية،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فرغم بساطتها فهذا التصنيف يصعب تطبيقه مثلا بالنسبة للحرية الدينية وحرية المعتقد التي تكتسي مظهرا فرديا وجماعيا في نفس الوقت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ويمكن تصنيف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حقوق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الإنسان إلى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صنفين: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حقوق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فردية،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وحقوق جماعية:</w:t>
      </w:r>
    </w:p>
    <w:p w:rsidR="002853F1" w:rsidRDefault="002853F1" w:rsidP="002853F1">
      <w:pPr>
        <w:pStyle w:val="Paragraphedeliste"/>
        <w:numPr>
          <w:ilvl w:val="0"/>
          <w:numId w:val="1"/>
        </w:num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الحقوق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الفردية: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وتنقسم إلى الحقوق المدنية والسياسية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والحقوق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الاقتصادية والاجتماعية والثقافية وسنتناول ذلك فيما يلي:</w:t>
      </w:r>
    </w:p>
    <w:p w:rsidR="002853F1" w:rsidRDefault="002853F1" w:rsidP="002853F1">
      <w:pPr>
        <w:pStyle w:val="Paragraphedeliste"/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الحقوق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المدنية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والسياسية: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تتمثل هذه الحقوق في حق الحياة وما يتصل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من حق الفرد في سلامة شخصه من تحريم للتعذيب وضمان الأمن الفردي والحق في الدفاع الشرعي وفي المحاكمة العادلة. كما تشمل حريات مثل حرية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الرأي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والعقيدة والفكر والتنقل والاجتماع والانضمام للجمعيات والتمتع بالجنسية واللجوء الإقليمي. ومنها أيضا حق المشاركة في كل من الحياة السياسية وإدارة الشؤون العامة إما مباشرة أو عن طريق أشخاص يمثلونه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بحرية،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ويضاف إلى تلك الحقوق الحق في التصويت والحق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الترشح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والحق في تقلد الوظائف العامة...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إلخ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. مع العلم أن من بين الحقوق المذكورة ما يجمل في الحق في نظام حكم ديمقراطي وفي الكرامة الشخصية والبدنية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والمعنوية،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ويطلق على مثل هذه الحقوق بأنها حقوق الجيل الأول (والذي يتطابق مع مفهوم الحرية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).</w:t>
      </w:r>
      <w:proofErr w:type="spellEnd"/>
    </w:p>
    <w:p w:rsidR="002853F1" w:rsidRDefault="002853F1" w:rsidP="002853F1">
      <w:pPr>
        <w:pStyle w:val="Paragraphedeliste"/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ب-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الحقوق الاقتصادية والاجتماعية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والثقافية: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وتشمل التعلم والعمل والمستوى اللائق من المعيشة والمأكل والمأوى والرعاية الصحية. وتسمى أيضا الجيل الثاني من الحقوق (ويتطابق مع مفهوم المساواة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vertAlign w:val="superscript"/>
          <w:rtl/>
        </w:rPr>
        <w:footnoteReference w:id="2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3F1" w:rsidRDefault="002853F1" w:rsidP="002853F1">
      <w:pPr>
        <w:pStyle w:val="Paragraphedeliste"/>
        <w:numPr>
          <w:ilvl w:val="0"/>
          <w:numId w:val="1"/>
        </w:num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الحقوق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الجماعية: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تعتبر حقوق لصيقة بمجموعات بشرية مختلفة. ولقد ظهر البعض من هذه الحقوق منذ مدة طويلة كما هو الشأن بالنسبة لحقوق الأقليات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الإثنية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أو الثقافية. أما عن المجموعات البشرية التي ترتبط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هذه الحقوق فتتراوح من الأسرة إلى الشعب بكامله محدد انطلاقا من انتمائه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الإثني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أو السياسي أو الثقافي. غير أنه مثلما لاحظنا بالنسبة للحقوق الفردية التي لها أبعاد جماعية نفس الشيء ممكن يقال عن حقوق جماعية لها أبعاد فردية مادامت توفر ضمانات للفرد</w:t>
      </w:r>
      <w:r>
        <w:rPr>
          <w:vertAlign w:val="superscript"/>
          <w:rtl/>
        </w:rPr>
        <w:footnoteReference w:id="3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3F1" w:rsidRDefault="002853F1" w:rsidP="002853F1">
      <w:pPr>
        <w:pStyle w:val="Paragraphedeliste"/>
        <w:tabs>
          <w:tab w:val="left" w:pos="2708"/>
        </w:tabs>
        <w:bidi/>
        <w:spacing w:after="0"/>
        <w:ind w:left="795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هذه الحقوق ذات بعد إنساني جماعي لذلك تعتبر حقوقا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للشعوب،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وهي الحقوق التي كثرت المطالبات حولها مع استقلال الدول الافريقية لذلك ركزت عليها المواثيق الافريقية كالحق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التنمية،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والحق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السلم،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والحق في بيئة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نظيفة،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والحق في السيطرة على الثروات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الطبيعية،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وحق تقرير المصير السياسي و الاقتصادي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والاجتماعي،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الحق في مناهضة التمييز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العنصري،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حق الاقليات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وما تجدر الإشارة إليه أن منظمة الأمم المتحدة كانت من بين المنظمات الدولية الاهتمام بهذه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الحقوق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</w:rPr>
        <w:footnoteReference w:id="4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proofErr w:type="gramEnd"/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    وعلى الرغم من أن الأحكام الواردة في الميثاق والمتعلقة بحقوق الإنسان تنقصها الصرامة كما يعبر عنه البعض فهي في تتكلم عن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تطوير،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تعزيز،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تشجيع،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تسهيل،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احترام أو التمتع بحقوق الإنسان. لكن حتى لو جاءت أحكام الميثاق المتعلقة بحقوق الانسان متسمة بطابع عام وغير دقيقة إلا أن هذا لا يشكل عقبة أمام طبيعتها الملزمة.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ولقد كانت قرارات منظمة الأمم المتحدة وسيلة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قانونية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للعمل في مجال حقوق الإنسان.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والجمعية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العامة كهيئة للتداول وجهاز أساسي لها شأن في هذه الحقوق من خلال أعمالها التي خولها لها الميثاق صراحة أو ضمنا.</w:t>
      </w:r>
    </w:p>
    <w:p w:rsidR="002853F1" w:rsidRDefault="002853F1" w:rsidP="002853F1">
      <w:pPr>
        <w:pStyle w:val="Paragraphedeliste"/>
        <w:numPr>
          <w:ilvl w:val="0"/>
          <w:numId w:val="1"/>
        </w:num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أجيال حقوق الانسان: 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وعلى صعيد آخر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فإن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هناك من يميز بين الحقوق حسب ظهورها التاريخي:</w:t>
      </w:r>
    </w:p>
    <w:p w:rsidR="002853F1" w:rsidRDefault="002853F1" w:rsidP="002853F1">
      <w:pPr>
        <w:pStyle w:val="Paragraphedeliste"/>
        <w:numPr>
          <w:ilvl w:val="0"/>
          <w:numId w:val="2"/>
        </w:num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حقوق الجيل </w:t>
      </w: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الأول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الحقوق المدنية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والسياسية،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والتي تتطلب تدخل الدولة لضمان ممارستها الفعلية (الأمن والعدالة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).</w:t>
      </w:r>
      <w:proofErr w:type="spellEnd"/>
    </w:p>
    <w:p w:rsidR="002853F1" w:rsidRDefault="002853F1" w:rsidP="002853F1">
      <w:pPr>
        <w:pStyle w:val="Paragraphedeliste"/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ب-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حقوق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الجيل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الثاني: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الحقوق الاقتصادية والاجتماعية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والثقافية،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والتي أصبحت في بعض الدول من بين الحقوق التي يمكن الاحتجاج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على غرار الحقوق المدنية والسياسة.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ج-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حقوق الجيل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الثالث: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الحقوق التضامنية مثل الحق في بيئة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صحية،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الحق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التنمية،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الحق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السلم،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والمشاركة في التراث والإرث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البشري،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والتواصل وتبادل المعلومات والحق في المساعدة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الانسانية،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وهذه الحقوق غير متجانسة ومعظمها غير مكرسة على المستوى الدولي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5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د-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حقوق الجيل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الرابع: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يمكن ضمانها بالاعتماد على حقوق الجيل الأول مثل احترام الحياة الخاصة  وكرامة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الفرد،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وحظر المعاملات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اللاإنسانية</w:t>
      </w:r>
      <w:proofErr w:type="spellEnd"/>
      <w:r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6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ه-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حقوق الجيل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الخامس: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يشير هذا الجيل من حقوق الإنسان إلى تلك الحقوق المتعلقة بالهندسة الوراثية و(التلاعب الجيني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وكذلك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الرقمنة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المتعلقة بالتكنولوجيات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الحديثة،</w:t>
      </w:r>
      <w:proofErr w:type="spellEnd"/>
      <w:r>
        <w:rPr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الحق في اختيار الموت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الرحيم،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الحق في تغيير الجنس والحق في الاستنساخ البشري...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غير أن اللائحة 06/251 لعام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2006،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المتعلقة بإنشاء مجلس حقوق الإنسان أكدت على تداخل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الحقوق،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وأن جميع حقوق الإنسان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عالمية،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غير قابلة للتجزئة ولا يمكن الفصل بينها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فهي متداخلة وتدعم بعضها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البعض،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وأن جميع حقوق الإنسان يجب اعتبارها بنفس الأهمية ويجب الابتعاد عن فكرة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تدرجها،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أو تفضيل بعضها عن الأخر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7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3F1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17F70" w:rsidRPr="00F76D2C" w:rsidRDefault="00B17F70" w:rsidP="00B17F70">
      <w:pPr>
        <w:pStyle w:val="Notedebasdepage"/>
        <w:bidi/>
        <w:rPr>
          <w:rFonts w:ascii="Simplified Arabic" w:hAnsi="Simplified Arabic" w:cs="Simplified Arabic" w:hint="cs"/>
          <w:sz w:val="36"/>
          <w:szCs w:val="36"/>
          <w:rtl/>
        </w:rPr>
      </w:pPr>
      <w:r w:rsidRPr="00B85305">
        <w:rPr>
          <w:rFonts w:ascii="Simplified Arabic" w:hAnsi="Simplified Arabic" w:cs="Simplified Arabic" w:hint="cs"/>
          <w:sz w:val="36"/>
          <w:szCs w:val="36"/>
          <w:rtl/>
        </w:rPr>
        <w:t xml:space="preserve">مراجع </w:t>
      </w:r>
      <w:proofErr w:type="spellStart"/>
      <w:r w:rsidRPr="00B85305">
        <w:rPr>
          <w:rFonts w:ascii="Simplified Arabic" w:hAnsi="Simplified Arabic" w:cs="Simplified Arabic" w:hint="cs"/>
          <w:sz w:val="36"/>
          <w:szCs w:val="36"/>
          <w:rtl/>
        </w:rPr>
        <w:t>المحور</w:t>
      </w:r>
      <w:r>
        <w:rPr>
          <w:rFonts w:ascii="Simplified Arabic" w:hAnsi="Simplified Arabic" w:cs="Simplified Arabic" w:hint="cs"/>
          <w:sz w:val="36"/>
          <w:szCs w:val="36"/>
          <w:rtl/>
        </w:rPr>
        <w:t>2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B17F70" w:rsidRPr="00603BE5" w:rsidRDefault="00B17F70" w:rsidP="00B17F70">
      <w:pPr>
        <w:pStyle w:val="Notedebasdepage"/>
        <w:rPr>
          <w:rFonts w:asciiTheme="majorBidi" w:hAnsiTheme="majorBidi" w:cstheme="majorBidi"/>
          <w:sz w:val="24"/>
          <w:szCs w:val="24"/>
        </w:rPr>
      </w:pPr>
      <w:r w:rsidRPr="00603BE5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proofErr w:type="spellStart"/>
      <w:r w:rsidRPr="00603BE5">
        <w:rPr>
          <w:rFonts w:asciiTheme="majorBidi" w:hAnsiTheme="majorBidi" w:cstheme="majorBidi" w:hint="cs"/>
          <w:sz w:val="24"/>
          <w:szCs w:val="24"/>
          <w:rtl/>
        </w:rPr>
        <w:t>-</w:t>
      </w:r>
      <w:proofErr w:type="spellEnd"/>
    </w:p>
    <w:p w:rsidR="00B17F70" w:rsidRPr="009425EF" w:rsidRDefault="00B17F70" w:rsidP="00B17F70">
      <w:pPr>
        <w:pStyle w:val="Notedebasdepage"/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عمار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>عنان،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محاضرات في حقوق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>الانسان،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محاضرات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>منشورة،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>كلية،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جامعة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>الجزائر1،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السنة الجامعية 2012/2013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17F70" w:rsidRPr="009425EF" w:rsidRDefault="00B17F70" w:rsidP="00B17F70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</w:rPr>
        <w:t xml:space="preserve"> عبد العزيز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</w:rPr>
        <w:t>قادري،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</w:rPr>
        <w:t xml:space="preserve"> حقوق الإنسان في القانون الدولي والعلاقات الدولية (المحتويات والآليات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</w:rPr>
        <w:t>)،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</w:rPr>
        <w:t xml:space="preserve"> دار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</w:rPr>
        <w:t>هومة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425EF">
        <w:rPr>
          <w:rFonts w:ascii="Simplified Arabic" w:hAnsi="Simplified Arabic" w:cs="Simplified Arabic"/>
          <w:sz w:val="32"/>
          <w:szCs w:val="32"/>
          <w:rtl/>
        </w:rPr>
        <w:t>الجزائر،</w:t>
      </w:r>
      <w:proofErr w:type="spellEnd"/>
      <w:r w:rsidRPr="009425EF">
        <w:rPr>
          <w:rFonts w:ascii="Simplified Arabic" w:hAnsi="Simplified Arabic" w:cs="Simplified Arabic"/>
          <w:sz w:val="32"/>
          <w:szCs w:val="32"/>
          <w:rtl/>
        </w:rPr>
        <w:t xml:space="preserve"> 2005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17F70" w:rsidRPr="009425EF" w:rsidRDefault="00B17F70" w:rsidP="00B17F70">
      <w:pPr>
        <w:pStyle w:val="Notedebasdepage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425EF">
        <w:rPr>
          <w:rFonts w:asciiTheme="majorBidi" w:hAnsiTheme="majorBidi" w:cstheme="majorBidi"/>
          <w:sz w:val="28"/>
          <w:szCs w:val="28"/>
        </w:rPr>
        <w:t>DUPY (P-M), Droit international Public, 4éme éd, Paris, Dalloz, 1998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.</w:t>
      </w:r>
      <w:proofErr w:type="spellEnd"/>
      <w:r w:rsidRPr="009425EF">
        <w:rPr>
          <w:rFonts w:asciiTheme="majorBidi" w:hAnsiTheme="majorBidi" w:cstheme="majorBidi"/>
          <w:sz w:val="28"/>
          <w:szCs w:val="28"/>
        </w:rPr>
        <w:t xml:space="preserve"> </w:t>
      </w:r>
    </w:p>
    <w:p w:rsidR="00B17F70" w:rsidRDefault="00B17F70" w:rsidP="00B17F7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03BE5">
        <w:rPr>
          <w:rFonts w:ascii="Simplified Arabic" w:hAnsi="Simplified Arabic" w:cs="Simplified Arabic"/>
          <w:sz w:val="28"/>
          <w:szCs w:val="28"/>
          <w:rtl/>
        </w:rPr>
        <w:t xml:space="preserve">نعمان </w:t>
      </w:r>
      <w:proofErr w:type="spellStart"/>
      <w:r w:rsidRPr="00603BE5">
        <w:rPr>
          <w:rFonts w:ascii="Simplified Arabic" w:hAnsi="Simplified Arabic" w:cs="Simplified Arabic"/>
          <w:sz w:val="28"/>
          <w:szCs w:val="28"/>
          <w:rtl/>
        </w:rPr>
        <w:t>دغبوش،</w:t>
      </w:r>
      <w:proofErr w:type="spellEnd"/>
      <w:r w:rsidRPr="00603BE5">
        <w:rPr>
          <w:rFonts w:ascii="Simplified Arabic" w:hAnsi="Simplified Arabic" w:cs="Simplified Arabic"/>
          <w:sz w:val="28"/>
          <w:szCs w:val="28"/>
          <w:rtl/>
        </w:rPr>
        <w:t xml:space="preserve"> معاهدات دولية لحقوق الانسان تعلو على </w:t>
      </w:r>
      <w:proofErr w:type="spellStart"/>
      <w:r w:rsidRPr="00603BE5">
        <w:rPr>
          <w:rFonts w:ascii="Simplified Arabic" w:hAnsi="Simplified Arabic" w:cs="Simplified Arabic"/>
          <w:sz w:val="28"/>
          <w:szCs w:val="28"/>
          <w:rtl/>
        </w:rPr>
        <w:t>القانون،</w:t>
      </w:r>
      <w:proofErr w:type="spellEnd"/>
      <w:r w:rsidRPr="00603BE5">
        <w:rPr>
          <w:rFonts w:ascii="Simplified Arabic" w:hAnsi="Simplified Arabic" w:cs="Simplified Arabic"/>
          <w:sz w:val="28"/>
          <w:szCs w:val="28"/>
          <w:rtl/>
        </w:rPr>
        <w:t xml:space="preserve"> دار </w:t>
      </w:r>
      <w:proofErr w:type="spellStart"/>
      <w:r w:rsidRPr="00603BE5">
        <w:rPr>
          <w:rFonts w:ascii="Simplified Arabic" w:hAnsi="Simplified Arabic" w:cs="Simplified Arabic"/>
          <w:sz w:val="28"/>
          <w:szCs w:val="28"/>
          <w:rtl/>
        </w:rPr>
        <w:t>الهدى،</w:t>
      </w:r>
      <w:proofErr w:type="spellEnd"/>
      <w:r w:rsidRPr="00603B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03BE5">
        <w:rPr>
          <w:rFonts w:ascii="Simplified Arabic" w:hAnsi="Simplified Arabic" w:cs="Simplified Arabic"/>
          <w:sz w:val="28"/>
          <w:szCs w:val="28"/>
          <w:rtl/>
        </w:rPr>
        <w:t>الجزائر،</w:t>
      </w:r>
      <w:proofErr w:type="spellEnd"/>
      <w:r w:rsidRPr="00603BE5">
        <w:rPr>
          <w:rFonts w:ascii="Simplified Arabic" w:hAnsi="Simplified Arabic" w:cs="Simplified Arabic"/>
          <w:sz w:val="28"/>
          <w:szCs w:val="28"/>
          <w:rtl/>
        </w:rPr>
        <w:t xml:space="preserve"> 2008. </w:t>
      </w:r>
    </w:p>
    <w:p w:rsidR="00B17F70" w:rsidRPr="00603BE5" w:rsidRDefault="00B17F70" w:rsidP="00B17F70">
      <w:pPr>
        <w:rPr>
          <w:rFonts w:ascii="Simplified Arabic" w:hAnsi="Simplified Arabic" w:cs="Simplified Arabic"/>
          <w:sz w:val="24"/>
          <w:szCs w:val="24"/>
          <w:lang w:bidi="ar-DZ"/>
        </w:rPr>
      </w:pPr>
    </w:p>
    <w:p w:rsidR="002853F1" w:rsidRPr="00B17F70" w:rsidRDefault="002853F1" w:rsidP="002853F1">
      <w:pPr>
        <w:tabs>
          <w:tab w:val="left" w:pos="2708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71C71" w:rsidRPr="002853F1" w:rsidRDefault="00671C71" w:rsidP="002853F1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671C71" w:rsidRPr="002853F1" w:rsidSect="0067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9D" w:rsidRDefault="000A4E9D" w:rsidP="002853F1">
      <w:pPr>
        <w:spacing w:after="0" w:line="240" w:lineRule="auto"/>
      </w:pPr>
      <w:r>
        <w:separator/>
      </w:r>
    </w:p>
  </w:endnote>
  <w:endnote w:type="continuationSeparator" w:id="0">
    <w:p w:rsidR="000A4E9D" w:rsidRDefault="000A4E9D" w:rsidP="0028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9D" w:rsidRDefault="000A4E9D" w:rsidP="002853F1">
      <w:pPr>
        <w:spacing w:after="0" w:line="240" w:lineRule="auto"/>
      </w:pPr>
      <w:r>
        <w:separator/>
      </w:r>
    </w:p>
  </w:footnote>
  <w:footnote w:type="continuationSeparator" w:id="0">
    <w:p w:rsidR="000A4E9D" w:rsidRDefault="000A4E9D" w:rsidP="002853F1">
      <w:pPr>
        <w:spacing w:after="0" w:line="240" w:lineRule="auto"/>
      </w:pPr>
      <w:r>
        <w:continuationSeparator/>
      </w:r>
    </w:p>
  </w:footnote>
  <w:footnote w:id="1">
    <w:p w:rsidR="002853F1" w:rsidRDefault="002853F1" w:rsidP="002853F1">
      <w:pPr>
        <w:pStyle w:val="Notedebasdepage"/>
        <w:bidi/>
        <w:rPr>
          <w:rFonts w:ascii="Simplified Arabic" w:hAnsi="Simplified Arabic" w:cs="Simplified Arabic"/>
          <w:lang w:bidi="ar-DZ"/>
        </w:rPr>
      </w:pPr>
      <w:r>
        <w:rPr>
          <w:rStyle w:val="Appelnotedebasdep"/>
          <w:rFonts w:ascii="Simplified Arabic" w:hAnsi="Simplified Arabic" w:cs="Simplified Arabic"/>
        </w:rPr>
        <w:footnoteRef/>
      </w:r>
      <w:r>
        <w:rPr>
          <w:rFonts w:ascii="Simplified Arabic" w:hAnsi="Simplified Arabic" w:cs="Simplified Arabic"/>
        </w:rPr>
        <w:t xml:space="preserve"> </w:t>
      </w:r>
      <w:proofErr w:type="spellStart"/>
      <w:r>
        <w:rPr>
          <w:rFonts w:ascii="Simplified Arabic" w:hAnsi="Simplified Arabic" w:cs="Simplified Arabic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rtl/>
          <w:lang w:bidi="ar-DZ"/>
        </w:rPr>
        <w:t xml:space="preserve"> عمار </w:t>
      </w:r>
      <w:proofErr w:type="spellStart"/>
      <w:r>
        <w:rPr>
          <w:rFonts w:ascii="Simplified Arabic" w:hAnsi="Simplified Arabic" w:cs="Simplified Arabic"/>
          <w:rtl/>
          <w:lang w:bidi="ar-DZ"/>
        </w:rPr>
        <w:t>عنان،</w:t>
      </w:r>
      <w:proofErr w:type="spellEnd"/>
      <w:r>
        <w:rPr>
          <w:rFonts w:ascii="Simplified Arabic" w:hAnsi="Simplified Arabic" w:cs="Simplified Arabic"/>
          <w:rtl/>
          <w:lang w:bidi="ar-DZ"/>
        </w:rPr>
        <w:t xml:space="preserve"> محاضرات في حقوق </w:t>
      </w:r>
      <w:proofErr w:type="spellStart"/>
      <w:r>
        <w:rPr>
          <w:rFonts w:ascii="Simplified Arabic" w:hAnsi="Simplified Arabic" w:cs="Simplified Arabic"/>
          <w:rtl/>
          <w:lang w:bidi="ar-DZ"/>
        </w:rPr>
        <w:t>الانسان،</w:t>
      </w:r>
      <w:proofErr w:type="spellEnd"/>
      <w:r>
        <w:rPr>
          <w:rFonts w:ascii="Simplified Arabic" w:hAnsi="Simplified Arabic" w:cs="Simplified Arabic"/>
          <w:rtl/>
          <w:lang w:bidi="ar-DZ"/>
        </w:rPr>
        <w:t xml:space="preserve"> محاضرات </w:t>
      </w:r>
      <w:proofErr w:type="spellStart"/>
      <w:r>
        <w:rPr>
          <w:rFonts w:ascii="Simplified Arabic" w:hAnsi="Simplified Arabic" w:cs="Simplified Arabic"/>
          <w:rtl/>
          <w:lang w:bidi="ar-DZ"/>
        </w:rPr>
        <w:t>منشورة،</w:t>
      </w:r>
      <w:proofErr w:type="spellEnd"/>
      <w:r>
        <w:rPr>
          <w:rFonts w:ascii="Simplified Arabic" w:hAnsi="Simplified Arabic" w:cs="Simplified Arabic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rtl/>
          <w:lang w:bidi="ar-DZ"/>
        </w:rPr>
        <w:t>كلية،</w:t>
      </w:r>
      <w:proofErr w:type="spellEnd"/>
      <w:r>
        <w:rPr>
          <w:rFonts w:ascii="Simplified Arabic" w:hAnsi="Simplified Arabic" w:cs="Simplified Arabic"/>
          <w:rtl/>
          <w:lang w:bidi="ar-DZ"/>
        </w:rPr>
        <w:t xml:space="preserve"> جامعة </w:t>
      </w:r>
      <w:proofErr w:type="spellStart"/>
      <w:r>
        <w:rPr>
          <w:rFonts w:ascii="Simplified Arabic" w:hAnsi="Simplified Arabic" w:cs="Simplified Arabic"/>
          <w:rtl/>
          <w:lang w:bidi="ar-DZ"/>
        </w:rPr>
        <w:t>الجزائر1،</w:t>
      </w:r>
      <w:proofErr w:type="spellEnd"/>
      <w:r>
        <w:rPr>
          <w:rFonts w:ascii="Simplified Arabic" w:hAnsi="Simplified Arabic" w:cs="Simplified Arabic"/>
          <w:rtl/>
          <w:lang w:bidi="ar-DZ"/>
        </w:rPr>
        <w:t xml:space="preserve"> السنة الجامعية 2012/2013،</w:t>
      </w:r>
      <w:proofErr w:type="spellStart"/>
      <w:r>
        <w:rPr>
          <w:rFonts w:ascii="Simplified Arabic" w:hAnsi="Simplified Arabic" w:cs="Simplified Arabic"/>
          <w:rtl/>
          <w:lang w:bidi="ar-DZ"/>
        </w:rPr>
        <w:t>ص41</w:t>
      </w:r>
      <w:proofErr w:type="spellEnd"/>
      <w:r>
        <w:rPr>
          <w:rFonts w:ascii="Simplified Arabic" w:hAnsi="Simplified Arabic" w:cs="Simplified Arabic"/>
          <w:rtl/>
          <w:lang w:bidi="ar-DZ"/>
        </w:rPr>
        <w:t>.</w:t>
      </w:r>
    </w:p>
  </w:footnote>
  <w:footnote w:id="2">
    <w:p w:rsidR="002853F1" w:rsidRDefault="002853F1" w:rsidP="002853F1">
      <w:pPr>
        <w:pStyle w:val="Notedebasdepage"/>
        <w:bidi/>
        <w:rPr>
          <w:rFonts w:ascii="Simplified Arabic" w:hAnsi="Simplified Arabic" w:cs="Simplified Arabic"/>
          <w:szCs w:val="24"/>
          <w:rtl/>
        </w:rPr>
      </w:pPr>
      <w:r>
        <w:rPr>
          <w:rStyle w:val="Appelnotedebasdep"/>
          <w:rFonts w:ascii="Simplified Arabic" w:hAnsi="Simplified Arabic" w:cs="Simplified Arabic"/>
          <w:szCs w:val="24"/>
        </w:rPr>
        <w:footnoteRef/>
      </w:r>
      <w:r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عبد العزيز </w:t>
      </w:r>
      <w:proofErr w:type="spellStart"/>
      <w:r>
        <w:rPr>
          <w:rFonts w:ascii="Simplified Arabic" w:hAnsi="Simplified Arabic" w:cs="Simplified Arabic"/>
          <w:szCs w:val="24"/>
          <w:rtl/>
        </w:rPr>
        <w:t>قادري،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حقوق الإنسان في القانون الدولي والعلاقات الدولية (المحتويات والآليات</w:t>
      </w:r>
      <w:proofErr w:type="spellStart"/>
      <w:r>
        <w:rPr>
          <w:rFonts w:ascii="Simplified Arabic" w:hAnsi="Simplified Arabic" w:cs="Simplified Arabic"/>
          <w:szCs w:val="24"/>
          <w:rtl/>
        </w:rPr>
        <w:t>)،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دار </w:t>
      </w:r>
      <w:proofErr w:type="spellStart"/>
      <w:r>
        <w:rPr>
          <w:rFonts w:ascii="Simplified Arabic" w:hAnsi="Simplified Arabic" w:cs="Simplified Arabic"/>
          <w:szCs w:val="24"/>
          <w:rtl/>
        </w:rPr>
        <w:t>هومة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Cs w:val="24"/>
          <w:rtl/>
        </w:rPr>
        <w:t>الجزائر،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Cs w:val="24"/>
          <w:rtl/>
        </w:rPr>
        <w:t>2005،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Cs w:val="24"/>
          <w:rtl/>
        </w:rPr>
        <w:t>ص19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. </w:t>
      </w:r>
    </w:p>
  </w:footnote>
  <w:footnote w:id="3">
    <w:p w:rsidR="002853F1" w:rsidRDefault="002853F1" w:rsidP="002853F1">
      <w:pPr>
        <w:pStyle w:val="Notedebasdepage"/>
        <w:rPr>
          <w:rFonts w:asciiTheme="majorBidi" w:hAnsiTheme="majorBidi" w:cstheme="majorBidi"/>
          <w:szCs w:val="24"/>
          <w:rtl/>
        </w:rPr>
      </w:pPr>
      <w:r>
        <w:rPr>
          <w:rStyle w:val="Appelnotedebasdep"/>
          <w:rFonts w:asciiTheme="majorBidi" w:hAnsiTheme="majorBidi" w:cstheme="majorBidi"/>
          <w:szCs w:val="24"/>
        </w:rPr>
        <w:footnoteRef/>
      </w:r>
      <w:r>
        <w:rPr>
          <w:rFonts w:asciiTheme="majorBidi" w:hAnsiTheme="majorBidi" w:cstheme="majorBidi"/>
          <w:szCs w:val="24"/>
          <w:rtl/>
        </w:rPr>
        <w:t xml:space="preserve">   </w:t>
      </w:r>
      <w:proofErr w:type="spellStart"/>
      <w:r>
        <w:rPr>
          <w:rFonts w:asciiTheme="majorBidi" w:hAnsiTheme="majorBidi" w:cstheme="majorBidi"/>
          <w:szCs w:val="24"/>
          <w:rtl/>
        </w:rPr>
        <w:t>-</w:t>
      </w:r>
      <w:proofErr w:type="spellEnd"/>
      <w:r>
        <w:rPr>
          <w:rFonts w:asciiTheme="majorBidi" w:hAnsiTheme="majorBidi" w:cstheme="majorBidi"/>
          <w:szCs w:val="24"/>
          <w:rtl/>
        </w:rPr>
        <w:t xml:space="preserve">   </w:t>
      </w:r>
      <w:r>
        <w:rPr>
          <w:rFonts w:asciiTheme="majorBidi" w:hAnsiTheme="majorBidi" w:cstheme="majorBidi"/>
          <w:szCs w:val="24"/>
        </w:rPr>
        <w:t>DUPY (P-M), Droit international Public, 4éme éd, Paris, Dalloz, 1998, P.198.</w:t>
      </w:r>
      <w:r>
        <w:rPr>
          <w:rFonts w:asciiTheme="majorBidi" w:hAnsiTheme="majorBidi" w:cstheme="majorBidi"/>
          <w:szCs w:val="24"/>
          <w:rtl/>
        </w:rPr>
        <w:t xml:space="preserve"> </w:t>
      </w:r>
    </w:p>
  </w:footnote>
  <w:footnote w:id="4">
    <w:p w:rsidR="002853F1" w:rsidRDefault="002853F1" w:rsidP="002853F1">
      <w:pPr>
        <w:pStyle w:val="Notedebasdepage"/>
        <w:bidi/>
        <w:rPr>
          <w:rFonts w:ascii="Simplified Arabic" w:hAnsi="Simplified Arabic" w:cs="Simplified Arabic"/>
          <w:szCs w:val="24"/>
          <w:rtl/>
        </w:rPr>
      </w:pPr>
      <w:r>
        <w:rPr>
          <w:rStyle w:val="Appelnotedebasdep"/>
          <w:rFonts w:ascii="Simplified Arabic" w:hAnsi="Simplified Arabic" w:cs="Simplified Arabic"/>
          <w:szCs w:val="24"/>
        </w:rPr>
        <w:footnoteRef/>
      </w:r>
      <w:r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 w:val="22"/>
          <w:szCs w:val="24"/>
          <w:rtl/>
        </w:rPr>
        <w:t xml:space="preserve"> </w:t>
      </w:r>
      <w:r>
        <w:rPr>
          <w:rFonts w:ascii="Simplified Arabic" w:hAnsi="Simplified Arabic" w:cs="Simplified Arabic"/>
          <w:szCs w:val="24"/>
          <w:rtl/>
        </w:rPr>
        <w:t xml:space="preserve">نعمان </w:t>
      </w:r>
      <w:proofErr w:type="spellStart"/>
      <w:r>
        <w:rPr>
          <w:rFonts w:ascii="Simplified Arabic" w:hAnsi="Simplified Arabic" w:cs="Simplified Arabic"/>
          <w:szCs w:val="24"/>
          <w:rtl/>
        </w:rPr>
        <w:t>دغبوش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Cs w:val="24"/>
          <w:rtl/>
        </w:rPr>
        <w:t>،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المرجع </w:t>
      </w:r>
      <w:proofErr w:type="spellStart"/>
      <w:r>
        <w:rPr>
          <w:rFonts w:ascii="Simplified Arabic" w:hAnsi="Simplified Arabic" w:cs="Simplified Arabic"/>
          <w:szCs w:val="24"/>
          <w:rtl/>
        </w:rPr>
        <w:t>السابق،</w:t>
      </w:r>
      <w:proofErr w:type="spellEnd"/>
      <w:r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Cs w:val="24"/>
          <w:rtl/>
        </w:rPr>
        <w:t>ص8</w:t>
      </w:r>
      <w:proofErr w:type="spellEnd"/>
      <w:r>
        <w:rPr>
          <w:rFonts w:ascii="Simplified Arabic" w:hAnsi="Simplified Arabic" w:cs="Simplified Arabic"/>
          <w:szCs w:val="24"/>
          <w:rtl/>
        </w:rPr>
        <w:t>.</w:t>
      </w:r>
    </w:p>
  </w:footnote>
  <w:footnote w:id="5">
    <w:p w:rsidR="002853F1" w:rsidRDefault="002853F1" w:rsidP="002853F1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عمار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عنان،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المرجع</w:t>
      </w:r>
      <w:proofErr w:type="gram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السابق،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ص41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  <w:footnote w:id="6">
    <w:p w:rsidR="002853F1" w:rsidRDefault="002853F1" w:rsidP="002853F1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lang w:bidi="ar-DZ"/>
        </w:rPr>
        <w:footnoteRef/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المرجع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نفسه،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ص42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  <w:footnote w:id="7">
    <w:p w:rsidR="002853F1" w:rsidRDefault="002853F1" w:rsidP="002853F1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lang w:bidi="ar-DZ"/>
        </w:rPr>
        <w:footnoteRef/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المرجع</w:t>
      </w:r>
      <w:proofErr w:type="gram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ا</w:t>
      </w:r>
      <w:bookmarkStart w:id="0" w:name="_GoBack"/>
      <w:bookmarkEnd w:id="0"/>
      <w:r>
        <w:rPr>
          <w:rFonts w:ascii="Simplified Arabic" w:hAnsi="Simplified Arabic" w:cs="Simplified Arabic"/>
          <w:sz w:val="24"/>
          <w:szCs w:val="24"/>
          <w:rtl/>
          <w:lang w:bidi="ar-DZ"/>
        </w:rPr>
        <w:t>لسابق،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ص42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B79"/>
    <w:multiLevelType w:val="hybridMultilevel"/>
    <w:tmpl w:val="4F04C0AA"/>
    <w:lvl w:ilvl="0" w:tplc="4D30BFF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C712F"/>
    <w:multiLevelType w:val="hybridMultilevel"/>
    <w:tmpl w:val="4C885062"/>
    <w:lvl w:ilvl="0" w:tplc="FF060DEA">
      <w:start w:val="1"/>
      <w:numFmt w:val="arabicAlpha"/>
      <w:lvlText w:val="%1-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3F1"/>
    <w:rsid w:val="000926AE"/>
    <w:rsid w:val="000A4E9D"/>
    <w:rsid w:val="002853F1"/>
    <w:rsid w:val="00312B27"/>
    <w:rsid w:val="004C272A"/>
    <w:rsid w:val="00610A03"/>
    <w:rsid w:val="00671C71"/>
    <w:rsid w:val="006F52F9"/>
    <w:rsid w:val="007A5BAE"/>
    <w:rsid w:val="00B17F70"/>
    <w:rsid w:val="00C0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53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53F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853F1"/>
    <w:pPr>
      <w:ind w:left="720"/>
      <w:contextualSpacing/>
    </w:pPr>
  </w:style>
  <w:style w:type="character" w:styleId="Appelnotedebasdep">
    <w:name w:val="footnote reference"/>
    <w:aliases w:val="Footnote Reference"/>
    <w:uiPriority w:val="99"/>
    <w:semiHidden/>
    <w:unhideWhenUsed/>
    <w:rsid w:val="002853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4</cp:revision>
  <dcterms:created xsi:type="dcterms:W3CDTF">2022-04-24T20:34:00Z</dcterms:created>
  <dcterms:modified xsi:type="dcterms:W3CDTF">2022-04-24T20:58:00Z</dcterms:modified>
</cp:coreProperties>
</file>