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80" w:rsidRPr="00460CEF" w:rsidRDefault="002712E5" w:rsidP="002E2F8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 xml:space="preserve">المركز الجامعي عبد الحفيظ </w:t>
      </w:r>
      <w:proofErr w:type="spellStart"/>
      <w:r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بوالصوف</w:t>
      </w:r>
      <w:proofErr w:type="spellEnd"/>
      <w:r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 xml:space="preserve"> ميلة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           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كلية الآداب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واللغات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                       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قسم </w:t>
      </w:r>
      <w:r w:rsidR="002E2F8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اللغة  و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الأدب العربي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                                                                                                                 </w:t>
      </w:r>
    </w:p>
    <w:p w:rsidR="00F714E4" w:rsidRDefault="002712E5" w:rsidP="00A23ABF">
      <w:pPr>
        <w:tabs>
          <w:tab w:val="left" w:pos="1806"/>
          <w:tab w:val="center" w:pos="5233"/>
        </w:tabs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د.أسماء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حمبلي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F01080" w:rsidRPr="00460CEF" w:rsidRDefault="002F53AD" w:rsidP="002712E5">
      <w:pPr>
        <w:tabs>
          <w:tab w:val="left" w:pos="1806"/>
          <w:tab w:val="center" w:pos="5233"/>
        </w:tabs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الإجابة النموذجية وسلم التنقيط</w:t>
      </w:r>
      <w:r w:rsidRPr="00D6644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E2F8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في </w:t>
      </w:r>
      <w:r w:rsidR="00F01080" w:rsidRPr="002E2F85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م</w:t>
      </w:r>
      <w:r w:rsidR="002E2F8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ادة</w:t>
      </w:r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2712E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 xml:space="preserve">المسرح </w:t>
      </w:r>
      <w:proofErr w:type="spellStart"/>
      <w:r w:rsidR="002712E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المغاربي</w:t>
      </w:r>
      <w:proofErr w:type="spellEnd"/>
      <w:r w:rsidR="00F01080"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2712E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(السداسي السادس 2021-2022)</w:t>
      </w:r>
    </w:p>
    <w:p w:rsidR="00F714E4" w:rsidRPr="00460CEF" w:rsidRDefault="005C3F1E" w:rsidP="00FF74B1">
      <w:pPr>
        <w:tabs>
          <w:tab w:val="left" w:pos="1806"/>
          <w:tab w:val="center" w:pos="5233"/>
        </w:tabs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u w:val="single"/>
          <w:lang w:bidi="ar-DZ"/>
        </w:rPr>
      </w:pPr>
      <w:proofErr w:type="gramStart"/>
      <w:r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السنة</w:t>
      </w:r>
      <w:proofErr w:type="gramEnd"/>
      <w:r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 الثا</w:t>
      </w:r>
      <w:r w:rsidR="002712E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لثة</w:t>
      </w:r>
      <w:r w:rsidR="002E2F8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:</w:t>
      </w:r>
      <w:r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0F17E7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 xml:space="preserve">أدب </w:t>
      </w:r>
      <w:r w:rsidR="002E2F8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ع</w:t>
      </w:r>
      <w:r w:rsidR="000F17E7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ربي</w:t>
      </w:r>
      <w:r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، المج</w:t>
      </w:r>
      <w:r w:rsidR="002712E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موعة</w:t>
      </w:r>
      <w:r w:rsidRPr="00460CEF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:</w:t>
      </w:r>
      <w:r w:rsidR="002712E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ب</w:t>
      </w:r>
    </w:p>
    <w:p w:rsidR="002712E5" w:rsidRPr="00FF74B1" w:rsidRDefault="00F01080" w:rsidP="002712E5">
      <w:pPr>
        <w:bidi/>
        <w:spacing w:after="0"/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</w:pPr>
      <w:r w:rsidRPr="00460CEF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""تشكل الحلقة أنموذجا أصيلا من أشكال التراث الشعبي </w:t>
      </w:r>
      <w:proofErr w:type="spellStart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المغاربي</w:t>
      </w:r>
      <w:proofErr w:type="spellEnd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 التي حاول العديد من المسرحيين استلهامه وتجريبه في أعمالهم المسرحية وعلى رأسهم "عبد الرحمن ولد </w:t>
      </w:r>
      <w:proofErr w:type="spellStart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كاكي</w:t>
      </w:r>
      <w:proofErr w:type="spellEnd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" و"عبد القادر </w:t>
      </w:r>
      <w:proofErr w:type="spellStart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علولة</w:t>
      </w:r>
      <w:proofErr w:type="spellEnd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"،ناهيك عن تجارب عالمية تأثرت بالمسرح في شمال إفريقيا ،حينما زار"بيتر بروك" المنطقة وفعّل تفكيره ومنهجه من خلال تأثره بالأشكال </w:t>
      </w:r>
      <w:proofErr w:type="spellStart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الفرجوية</w:t>
      </w:r>
      <w:proofErr w:type="spellEnd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 الشعبية وبخاصة الحلقة في المجتمع </w:t>
      </w:r>
      <w:proofErr w:type="spellStart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المغاربي</w:t>
      </w:r>
      <w:proofErr w:type="spellEnd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 ."" </w:t>
      </w:r>
    </w:p>
    <w:p w:rsidR="00F714E4" w:rsidRPr="00FF74B1" w:rsidRDefault="002712E5" w:rsidP="002712E5">
      <w:pPr>
        <w:tabs>
          <w:tab w:val="left" w:pos="1806"/>
          <w:tab w:val="center" w:pos="5233"/>
        </w:tabs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-اكتب مقالا تحلل فيه هذا القول ،مبيّنا كيف حضر التراث الشعبي في المسرح </w:t>
      </w:r>
      <w:proofErr w:type="spellStart"/>
      <w:r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المغاربي</w:t>
      </w:r>
      <w:proofErr w:type="spellEnd"/>
      <w:r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 من خلال الأشكال ذات الطابع الاحتفالي، و أهم الروافد المحلية والغربية  التي تأثر </w:t>
      </w:r>
      <w:proofErr w:type="spellStart"/>
      <w:r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بها</w:t>
      </w:r>
      <w:proofErr w:type="spellEnd"/>
      <w:r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 المسرح </w:t>
      </w:r>
      <w:proofErr w:type="spellStart"/>
      <w:r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المغاربي</w:t>
      </w:r>
      <w:proofErr w:type="spellEnd"/>
      <w:r w:rsidR="00F01080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5C3F1E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.   </w:t>
      </w:r>
    </w:p>
    <w:p w:rsidR="002F53AD" w:rsidRPr="00FF74B1" w:rsidRDefault="00F714E4" w:rsidP="00E021AC">
      <w:pPr>
        <w:tabs>
          <w:tab w:val="left" w:pos="1806"/>
          <w:tab w:val="center" w:pos="5233"/>
        </w:tabs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         </w:t>
      </w:r>
      <w:r w:rsidR="002F53A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2F53AD" w:rsidRPr="00FF74B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مقدمة</w:t>
      </w:r>
      <w:r w:rsidR="002F53A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2712E5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بدايات المسرح </w:t>
      </w:r>
      <w:proofErr w:type="spellStart"/>
      <w:r w:rsidR="002712E5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المغاربي</w:t>
      </w:r>
      <w:proofErr w:type="spellEnd"/>
      <w:r w:rsidR="002712E5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وانتقاله من الأشكال </w:t>
      </w:r>
      <w:proofErr w:type="spellStart"/>
      <w:r w:rsidR="002712E5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ماقبل</w:t>
      </w:r>
      <w:proofErr w:type="spellEnd"/>
      <w:r w:rsidR="002712E5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المسرحية وخاصة الحلقة  إلى أن اكتمل وصار قائما بذاته وكيف تلقى</w:t>
      </w:r>
      <w:r w:rsidR="002F53A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2712E5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المسرحيون</w:t>
      </w:r>
      <w:r w:rsidR="002F53A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2712E5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المغاربة  الحلقة وطوروها ومنهم</w:t>
      </w:r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"عبد الرحمن ولد </w:t>
      </w:r>
      <w:proofErr w:type="spellStart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كاكي</w:t>
      </w:r>
      <w:proofErr w:type="spellEnd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" و"عبد القادر </w:t>
      </w:r>
      <w:proofErr w:type="spellStart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علولة</w:t>
      </w:r>
      <w:proofErr w:type="spellEnd"/>
      <w:r w:rsidR="002712E5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"</w:t>
      </w:r>
      <w:r w:rsidR="00E021AC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 وكيف تأثر </w:t>
      </w:r>
      <w:proofErr w:type="spellStart"/>
      <w:r w:rsidR="00E021AC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بها</w:t>
      </w:r>
      <w:proofErr w:type="spellEnd"/>
      <w:r w:rsidR="00E021AC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 xml:space="preserve"> الأجانب ومنهم "بيتر </w:t>
      </w:r>
      <w:proofErr w:type="spellStart"/>
      <w:r w:rsidR="00E021AC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بتروك</w:t>
      </w:r>
      <w:proofErr w:type="spellEnd"/>
      <w:r w:rsidR="00E021AC" w:rsidRPr="00FF74B1">
        <w:rPr>
          <w:rFonts w:ascii="Traditional Arabic" w:hAnsi="Traditional Arabic" w:cs="Traditional Arabic"/>
          <w:b/>
          <w:bCs/>
          <w:color w:val="333332"/>
          <w:spacing w:val="1"/>
          <w:sz w:val="32"/>
          <w:szCs w:val="32"/>
          <w:shd w:val="clear" w:color="auto" w:fill="FFFFFF"/>
          <w:rtl/>
          <w:lang w:bidi="ar-DZ"/>
        </w:rPr>
        <w:t>"</w:t>
      </w:r>
      <w:r w:rsidR="002712E5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="002F53A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(</w:t>
      </w:r>
      <w:r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</w:t>
      </w:r>
      <w:r w:rsidR="002F53A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ن) </w:t>
      </w:r>
    </w:p>
    <w:p w:rsidR="003865F4" w:rsidRPr="00FF74B1" w:rsidRDefault="002F53AD" w:rsidP="008B7F6A">
      <w:pPr>
        <w:tabs>
          <w:tab w:val="left" w:pos="1806"/>
          <w:tab w:val="center" w:pos="5233"/>
        </w:tabs>
        <w:bidi/>
        <w:ind w:left="283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Pr="00FF74B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العرض</w:t>
      </w:r>
      <w:r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 -</w:t>
      </w:r>
      <w:r w:rsidR="00E021AC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الحلقة (شكلا ومضمونا)و تأثيرها في هوية المسرح </w:t>
      </w:r>
      <w:proofErr w:type="spellStart"/>
      <w:r w:rsidR="00E021AC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المغاربي</w:t>
      </w:r>
      <w:proofErr w:type="spellEnd"/>
      <w:r w:rsidR="00E021AC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</w:t>
      </w:r>
      <w:r w:rsidR="00F714E4" w:rsidRPr="00FF74B1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1.5</w:t>
      </w:r>
      <w:r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ن)  -</w:t>
      </w:r>
      <w:r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E021AC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أشكال</w:t>
      </w:r>
      <w:r w:rsidR="00646D8D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المسرح </w:t>
      </w:r>
      <w:proofErr w:type="spellStart"/>
      <w:r w:rsidR="00646D8D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المغاربي</w:t>
      </w:r>
      <w:proofErr w:type="spellEnd"/>
      <w:r w:rsidR="00646D8D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E021AC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ذات الطابع الاحتفالي:</w:t>
      </w:r>
      <w:r w:rsidR="00005DE3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E021AC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احتفالية "</w:t>
      </w:r>
      <w:proofErr w:type="spellStart"/>
      <w:r w:rsidR="00E021AC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بوغنجا</w:t>
      </w:r>
      <w:proofErr w:type="spellEnd"/>
      <w:r w:rsidR="00E021AC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أو </w:t>
      </w:r>
      <w:proofErr w:type="spellStart"/>
      <w:r w:rsidR="00E021AC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أسليث</w:t>
      </w:r>
      <w:proofErr w:type="spellEnd"/>
      <w:r w:rsidR="00E021AC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ن ونزار، </w:t>
      </w:r>
      <w:proofErr w:type="spellStart"/>
      <w:r w:rsidR="00E021AC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شايب</w:t>
      </w:r>
      <w:proofErr w:type="spellEnd"/>
      <w:r w:rsidR="00E021AC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عاشوراء</w:t>
      </w:r>
      <w:r w:rsidR="00646D8D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، </w:t>
      </w:r>
      <w:proofErr w:type="spellStart"/>
      <w:r w:rsidR="00646D8D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أمدياز</w:t>
      </w:r>
      <w:proofErr w:type="spellEnd"/>
      <w:r w:rsidR="00646D8D" w:rsidRPr="00FF7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،</w:t>
      </w:r>
      <w:r w:rsidR="00646D8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 w:rsidR="00646D8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الحلقة(</w:t>
      </w:r>
      <w:proofErr w:type="gramEnd"/>
      <w:r w:rsidR="00646D8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2</w:t>
      </w:r>
      <w:r w:rsidR="008B7F6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ن مع الشرح</w:t>
      </w:r>
      <w:r w:rsidR="00646D8D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)</w:t>
      </w:r>
    </w:p>
    <w:p w:rsidR="00646D8D" w:rsidRPr="00FF74B1" w:rsidRDefault="00646D8D" w:rsidP="00646D8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حلقة </w:t>
      </w:r>
      <w:proofErr w:type="spellStart"/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الأورار</w:t>
      </w:r>
      <w:proofErr w:type="spellEnd"/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في الأفراح </w:t>
      </w:r>
      <w:proofErr w:type="spellStart"/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الأمازيغية</w:t>
      </w:r>
      <w:proofErr w:type="spellEnd"/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التقليدية(1.5ن</w:t>
      </w:r>
      <w:r w:rsidR="008B7F6A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مع الشرح </w:t>
      </w:r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)</w:t>
      </w:r>
    </w:p>
    <w:p w:rsidR="00646D8D" w:rsidRPr="00FF74B1" w:rsidRDefault="00646D8D" w:rsidP="00FF74B1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الربط بينها وبين المصادر المحلية للمسرح </w:t>
      </w:r>
      <w:proofErr w:type="spellStart"/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المغاربي</w:t>
      </w:r>
      <w:proofErr w:type="spellEnd"/>
      <w:r w:rsidR="00FF74B1"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(1ن)</w:t>
      </w:r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– خصوصية اللغة</w:t>
      </w:r>
      <w:r w:rsidR="00FF74B1"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المسرحية تتأتى من التراث المحلي</w:t>
      </w:r>
      <w:r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 xml:space="preserve">  وخاصة الحلقة </w:t>
      </w:r>
      <w:r w:rsidR="00FF74B1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، الحكاية الشعبية(</w:t>
      </w:r>
      <w:r w:rsidR="00FF74B1" w:rsidRPr="00FF74B1">
        <w:rPr>
          <w:rFonts w:ascii="Traditional Arabic" w:hAnsi="Traditional Arabic" w:cs="Traditional Arabic"/>
          <w:sz w:val="28"/>
          <w:szCs w:val="28"/>
          <w:rtl/>
        </w:rPr>
        <w:t>مسرحیة</w:t>
      </w:r>
      <w:r w:rsidR="00FF74B1" w:rsidRPr="00FF74B1">
        <w:rPr>
          <w:rFonts w:ascii="Traditional Arabic" w:hAnsi="Traditional Arabic" w:cs="Traditional Arabic"/>
          <w:sz w:val="28"/>
          <w:szCs w:val="28"/>
        </w:rPr>
        <w:t xml:space="preserve"> " </w:t>
      </w:r>
      <w:r w:rsidR="00FF74B1" w:rsidRPr="00FF74B1">
        <w:rPr>
          <w:rFonts w:ascii="Traditional Arabic" w:hAnsi="Traditional Arabic" w:cs="Traditional Arabic"/>
          <w:sz w:val="28"/>
          <w:szCs w:val="28"/>
          <w:rtl/>
        </w:rPr>
        <w:t>كل</w:t>
      </w:r>
      <w:r w:rsidR="00FF74B1"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F74B1" w:rsidRPr="00FF74B1">
        <w:rPr>
          <w:rFonts w:ascii="Traditional Arabic" w:hAnsi="Traditional Arabic" w:cs="Traditional Arabic"/>
          <w:sz w:val="28"/>
          <w:szCs w:val="28"/>
          <w:rtl/>
        </w:rPr>
        <w:t>واحد</w:t>
      </w:r>
      <w:r w:rsidR="00FF74B1"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F74B1" w:rsidRPr="00FF74B1">
        <w:rPr>
          <w:rFonts w:ascii="Traditional Arabic" w:hAnsi="Traditional Arabic" w:cs="Traditional Arabic"/>
          <w:sz w:val="28"/>
          <w:szCs w:val="28"/>
          <w:rtl/>
        </w:rPr>
        <w:t>وحكمه</w:t>
      </w:r>
      <w:r w:rsidR="00FF74B1" w:rsidRPr="00FF74B1">
        <w:rPr>
          <w:rFonts w:ascii="Traditional Arabic" w:hAnsi="Traditional Arabic" w:cs="Traditional Arabic"/>
          <w:sz w:val="28"/>
          <w:szCs w:val="28"/>
        </w:rPr>
        <w:t xml:space="preserve"> " </w:t>
      </w:r>
      <w:proofErr w:type="spellStart"/>
      <w:r w:rsidR="00FF74B1" w:rsidRPr="00FF74B1">
        <w:rPr>
          <w:rFonts w:ascii="Traditional Arabic" w:hAnsi="Traditional Arabic" w:cs="Traditional Arabic"/>
          <w:sz w:val="28"/>
          <w:szCs w:val="28"/>
          <w:rtl/>
        </w:rPr>
        <w:t>لكاكي</w:t>
      </w:r>
      <w:proofErr w:type="spellEnd"/>
      <w:r w:rsidR="00FF74B1" w:rsidRPr="00FF74B1">
        <w:rPr>
          <w:rFonts w:ascii="Traditional Arabic" w:hAnsi="Traditional Arabic" w:cs="Traditional Arabic"/>
          <w:sz w:val="28"/>
          <w:szCs w:val="28"/>
          <w:rtl/>
        </w:rPr>
        <w:t>)(1.5*2ن</w:t>
      </w:r>
      <w:r w:rsidR="00767ABA">
        <w:rPr>
          <w:rFonts w:ascii="Traditional Arabic" w:hAnsi="Traditional Arabic" w:cs="Traditional Arabic"/>
          <w:sz w:val="28"/>
          <w:szCs w:val="28"/>
        </w:rPr>
        <w:t xml:space="preserve"> </w:t>
      </w:r>
      <w:r w:rsidR="00767AB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 الشرح</w:t>
      </w:r>
      <w:r w:rsidR="00FF74B1" w:rsidRPr="00FF74B1">
        <w:rPr>
          <w:rFonts w:ascii="Traditional Arabic" w:hAnsi="Traditional Arabic" w:cs="Traditional Arabic"/>
          <w:sz w:val="28"/>
          <w:szCs w:val="28"/>
          <w:rtl/>
        </w:rPr>
        <w:t>)</w:t>
      </w:r>
    </w:p>
    <w:p w:rsidR="00FF74B1" w:rsidRPr="00FF74B1" w:rsidRDefault="00FF74B1" w:rsidP="00FF74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FF74B1">
        <w:rPr>
          <w:rFonts w:ascii="Traditional Arabic" w:hAnsi="Traditional Arabic" w:cs="Traditional Arabic"/>
          <w:sz w:val="28"/>
          <w:szCs w:val="28"/>
          <w:rtl/>
        </w:rPr>
        <w:t xml:space="preserve">المصادر الغربية للمسرح </w:t>
      </w:r>
      <w:proofErr w:type="spellStart"/>
      <w:r w:rsidRPr="00FF74B1">
        <w:rPr>
          <w:rFonts w:ascii="Traditional Arabic" w:hAnsi="Traditional Arabic" w:cs="Traditional Arabic"/>
          <w:sz w:val="28"/>
          <w:szCs w:val="28"/>
          <w:rtl/>
        </w:rPr>
        <w:t>المغاربي</w:t>
      </w:r>
      <w:proofErr w:type="spellEnd"/>
      <w:r w:rsidRPr="00FF74B1">
        <w:rPr>
          <w:rFonts w:ascii="Traditional Arabic" w:hAnsi="Traditional Arabic" w:cs="Traditional Arabic"/>
          <w:sz w:val="28"/>
          <w:szCs w:val="28"/>
          <w:rtl/>
        </w:rPr>
        <w:t xml:space="preserve">:تأثرهم(1ن) </w:t>
      </w:r>
      <w:proofErr w:type="spellStart"/>
      <w:r w:rsidRPr="00FF74B1">
        <w:rPr>
          <w:rFonts w:ascii="Traditional Arabic" w:hAnsi="Traditional Arabic" w:cs="Traditional Arabic"/>
          <w:sz w:val="28"/>
          <w:szCs w:val="28"/>
          <w:rtl/>
        </w:rPr>
        <w:t>بـ</w:t>
      </w:r>
      <w:proofErr w:type="spellEnd"/>
      <w:r w:rsidRPr="00FF74B1">
        <w:rPr>
          <w:rFonts w:ascii="Traditional Arabic" w:hAnsi="Traditional Arabic" w:cs="Traditional Arabic"/>
          <w:sz w:val="28"/>
          <w:szCs w:val="28"/>
          <w:rtl/>
        </w:rPr>
        <w:t>: د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ا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رما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العبث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أو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اللامعقول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،المسرح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الإيطالي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"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كومیديا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FF74B1">
        <w:rPr>
          <w:rFonts w:ascii="Traditional Arabic" w:hAnsi="Traditional Arabic" w:cs="Traditional Arabic"/>
          <w:sz w:val="28"/>
          <w:szCs w:val="28"/>
          <w:rtl/>
        </w:rPr>
        <w:t>ديلارتي</w:t>
      </w:r>
      <w:proofErr w:type="spellEnd"/>
    </w:p>
    <w:p w:rsidR="00646D8D" w:rsidRPr="00FF74B1" w:rsidRDefault="00FF74B1" w:rsidP="00FF74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F74B1">
        <w:rPr>
          <w:rFonts w:ascii="Traditional Arabic" w:hAnsi="Traditional Arabic" w:cs="Traditional Arabic"/>
          <w:sz w:val="28"/>
          <w:szCs w:val="28"/>
        </w:rPr>
        <w:t xml:space="preserve">"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المسرح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الملحمي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"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بریخت</w:t>
      </w:r>
      <w:r w:rsidRPr="00FF74B1">
        <w:rPr>
          <w:rFonts w:ascii="Traditional Arabic" w:hAnsi="Traditional Arabic" w:cs="Traditional Arabic"/>
          <w:sz w:val="28"/>
          <w:szCs w:val="28"/>
        </w:rPr>
        <w:t xml:space="preserve"> "</w:t>
      </w:r>
      <w:proofErr w:type="gramStart"/>
      <w:r w:rsidRPr="00FF74B1">
        <w:rPr>
          <w:rFonts w:ascii="Traditional Arabic" w:hAnsi="Traditional Arabic" w:cs="Traditional Arabic"/>
          <w:sz w:val="28"/>
          <w:szCs w:val="28"/>
        </w:rPr>
        <w:t>.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(</w:t>
      </w:r>
      <w:proofErr w:type="gramEnd"/>
      <w:r w:rsidRPr="00FF74B1">
        <w:rPr>
          <w:rFonts w:ascii="Traditional Arabic" w:hAnsi="Traditional Arabic" w:cs="Traditional Arabic"/>
          <w:sz w:val="28"/>
          <w:szCs w:val="28"/>
          <w:rtl/>
        </w:rPr>
        <w:t>3ن</w:t>
      </w:r>
      <w:r w:rsidR="008B7F6A">
        <w:rPr>
          <w:rFonts w:ascii="Traditional Arabic" w:hAnsi="Traditional Arabic" w:cs="Traditional Arabic" w:hint="cs"/>
          <w:sz w:val="28"/>
          <w:szCs w:val="28"/>
          <w:rtl/>
        </w:rPr>
        <w:t xml:space="preserve"> مع الشرح </w:t>
      </w:r>
      <w:r w:rsidRPr="00FF74B1">
        <w:rPr>
          <w:rFonts w:ascii="Traditional Arabic" w:hAnsi="Traditional Arabic" w:cs="Traditional Arabic"/>
          <w:sz w:val="28"/>
          <w:szCs w:val="28"/>
          <w:rtl/>
        </w:rPr>
        <w:t>)</w:t>
      </w:r>
    </w:p>
    <w:p w:rsidR="002E2F85" w:rsidRPr="00FF74B1" w:rsidRDefault="002E2F85" w:rsidP="00FF74B1">
      <w:pPr>
        <w:tabs>
          <w:tab w:val="left" w:pos="1806"/>
          <w:tab w:val="center" w:pos="5233"/>
        </w:tabs>
        <w:bidi/>
        <w:ind w:left="283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        -</w:t>
      </w:r>
      <w:r w:rsidR="00A23ABF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خاتمة</w:t>
      </w:r>
      <w:proofErr w:type="gramEnd"/>
      <w:r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: </w:t>
      </w:r>
      <w:r w:rsidR="00FF74B1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(2</w:t>
      </w:r>
      <w:r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ن</w:t>
      </w:r>
      <w:r w:rsidR="00A23ABF" w:rsidRPr="00FF74B1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)</w:t>
      </w:r>
    </w:p>
    <w:p w:rsidR="00A23ABF" w:rsidRDefault="00A23ABF" w:rsidP="00F714E4">
      <w:pPr>
        <w:tabs>
          <w:tab w:val="left" w:pos="1806"/>
          <w:tab w:val="center" w:pos="5233"/>
        </w:tabs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F714E4"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F74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المنهجية وسلامة</w:t>
      </w:r>
      <w:r w:rsidRPr="00A23AB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اللغة: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(</w:t>
      </w:r>
      <w:r w:rsidR="00F714E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</w:t>
      </w:r>
      <w:r w:rsidRPr="00A23AB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</w:p>
    <w:sectPr w:rsidR="00A23ABF" w:rsidSect="00587D89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367"/>
    <w:multiLevelType w:val="hybridMultilevel"/>
    <w:tmpl w:val="3398D42A"/>
    <w:lvl w:ilvl="0" w:tplc="FA2C34AC">
      <w:start w:val="2"/>
      <w:numFmt w:val="bullet"/>
      <w:lvlText w:val="-"/>
      <w:lvlJc w:val="left"/>
      <w:pPr>
        <w:ind w:left="718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01080"/>
    <w:rsid w:val="00005DE3"/>
    <w:rsid w:val="000216C5"/>
    <w:rsid w:val="000F17E7"/>
    <w:rsid w:val="000F5A13"/>
    <w:rsid w:val="00127B40"/>
    <w:rsid w:val="001858DA"/>
    <w:rsid w:val="001C68B7"/>
    <w:rsid w:val="002712E5"/>
    <w:rsid w:val="002E2F85"/>
    <w:rsid w:val="002F4EB2"/>
    <w:rsid w:val="002F53AD"/>
    <w:rsid w:val="00312991"/>
    <w:rsid w:val="0035193F"/>
    <w:rsid w:val="003645D0"/>
    <w:rsid w:val="003865F4"/>
    <w:rsid w:val="00392DD2"/>
    <w:rsid w:val="003F2B13"/>
    <w:rsid w:val="00403674"/>
    <w:rsid w:val="00460CEF"/>
    <w:rsid w:val="004631E7"/>
    <w:rsid w:val="004C569A"/>
    <w:rsid w:val="0051475B"/>
    <w:rsid w:val="00577609"/>
    <w:rsid w:val="00587D89"/>
    <w:rsid w:val="005B71A7"/>
    <w:rsid w:val="005B74F1"/>
    <w:rsid w:val="005C3F1E"/>
    <w:rsid w:val="005C5127"/>
    <w:rsid w:val="005D6547"/>
    <w:rsid w:val="005E5DB0"/>
    <w:rsid w:val="00646D8D"/>
    <w:rsid w:val="006803C6"/>
    <w:rsid w:val="006D572A"/>
    <w:rsid w:val="006F3B6E"/>
    <w:rsid w:val="00767ABA"/>
    <w:rsid w:val="00771A6B"/>
    <w:rsid w:val="00773F12"/>
    <w:rsid w:val="0080527F"/>
    <w:rsid w:val="00831571"/>
    <w:rsid w:val="008B7F6A"/>
    <w:rsid w:val="008F2176"/>
    <w:rsid w:val="009045B3"/>
    <w:rsid w:val="0090799B"/>
    <w:rsid w:val="009A46C6"/>
    <w:rsid w:val="009B244F"/>
    <w:rsid w:val="00A17D9F"/>
    <w:rsid w:val="00A23ABF"/>
    <w:rsid w:val="00D06680"/>
    <w:rsid w:val="00D659D6"/>
    <w:rsid w:val="00DC0EF1"/>
    <w:rsid w:val="00E021AC"/>
    <w:rsid w:val="00ED0AEF"/>
    <w:rsid w:val="00EE2AA5"/>
    <w:rsid w:val="00F01080"/>
    <w:rsid w:val="00F42336"/>
    <w:rsid w:val="00F714E4"/>
    <w:rsid w:val="00F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</dc:creator>
  <cp:lastModifiedBy>SAMSUNG</cp:lastModifiedBy>
  <cp:revision>5</cp:revision>
  <cp:lastPrinted>2022-06-02T22:57:00Z</cp:lastPrinted>
  <dcterms:created xsi:type="dcterms:W3CDTF">2022-04-27T13:07:00Z</dcterms:created>
  <dcterms:modified xsi:type="dcterms:W3CDTF">2022-06-05T20:47:00Z</dcterms:modified>
</cp:coreProperties>
</file>