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D4" w:rsidRPr="002716AC" w:rsidRDefault="002716AC" w:rsidP="002716AC">
      <w:pPr>
        <w:spacing w:after="100" w:afterAutospacing="1" w:line="360" w:lineRule="auto"/>
        <w:jc w:val="both"/>
        <w:rPr>
          <w:rFonts w:asciiTheme="majorBidi" w:hAnsiTheme="majorBidi" w:cstheme="majorBidi"/>
          <w:b/>
          <w:bCs/>
          <w:sz w:val="32"/>
          <w:szCs w:val="32"/>
        </w:rPr>
      </w:pPr>
      <w:r>
        <w:rPr>
          <w:rFonts w:asciiTheme="majorBidi" w:hAnsiTheme="majorBidi" w:cstheme="majorBidi"/>
          <w:b/>
          <w:bCs/>
          <w:sz w:val="32"/>
          <w:szCs w:val="32"/>
        </w:rPr>
        <w:t xml:space="preserve">                              </w:t>
      </w:r>
      <w:r w:rsidR="00F46ED4" w:rsidRPr="002716AC">
        <w:rPr>
          <w:rFonts w:asciiTheme="majorBidi" w:hAnsiTheme="majorBidi" w:cstheme="majorBidi"/>
          <w:b/>
          <w:bCs/>
          <w:sz w:val="32"/>
          <w:szCs w:val="32"/>
        </w:rPr>
        <w:t>C</w:t>
      </w:r>
      <w:r w:rsidRPr="002716AC">
        <w:rPr>
          <w:rFonts w:asciiTheme="majorBidi" w:hAnsiTheme="majorBidi" w:cstheme="majorBidi"/>
          <w:b/>
          <w:bCs/>
          <w:sz w:val="32"/>
          <w:szCs w:val="32"/>
        </w:rPr>
        <w:t xml:space="preserve">hapitre  </w:t>
      </w:r>
      <w:r w:rsidR="00F46ED4" w:rsidRPr="002716AC">
        <w:rPr>
          <w:rFonts w:asciiTheme="majorBidi" w:hAnsiTheme="majorBidi" w:cstheme="majorBidi"/>
          <w:b/>
          <w:bCs/>
          <w:sz w:val="32"/>
          <w:szCs w:val="32"/>
        </w:rPr>
        <w:t>04 : Héritabilité </w:t>
      </w:r>
    </w:p>
    <w:p w:rsidR="002716AC" w:rsidRDefault="002716AC" w:rsidP="00F46ED4">
      <w:pPr>
        <w:pStyle w:val="Paragraphedeliste"/>
        <w:spacing w:after="100" w:afterAutospacing="1" w:line="360" w:lineRule="auto"/>
        <w:ind w:left="1080"/>
        <w:jc w:val="both"/>
        <w:rPr>
          <w:rFonts w:asciiTheme="majorBidi" w:hAnsiTheme="majorBidi" w:cstheme="majorBidi"/>
          <w:b/>
          <w:bCs/>
          <w:sz w:val="28"/>
          <w:szCs w:val="28"/>
        </w:rPr>
      </w:pPr>
      <w:bookmarkStart w:id="0" w:name="_GoBack"/>
      <w:bookmarkEnd w:id="0"/>
    </w:p>
    <w:p w:rsidR="00165E82" w:rsidRDefault="007B6331" w:rsidP="00BA03A7">
      <w:pPr>
        <w:pStyle w:val="Paragraphedeliste"/>
        <w:numPr>
          <w:ilvl w:val="0"/>
          <w:numId w:val="15"/>
        </w:numPr>
        <w:spacing w:after="100" w:afterAutospacing="1" w:line="360" w:lineRule="auto"/>
        <w:jc w:val="both"/>
        <w:rPr>
          <w:rFonts w:asciiTheme="majorBidi" w:hAnsiTheme="majorBidi" w:cstheme="majorBidi"/>
          <w:b/>
          <w:bCs/>
          <w:sz w:val="28"/>
          <w:szCs w:val="28"/>
        </w:rPr>
      </w:pPr>
      <w:r w:rsidRPr="00BA03A7">
        <w:rPr>
          <w:rFonts w:asciiTheme="majorBidi" w:hAnsiTheme="majorBidi" w:cstheme="majorBidi"/>
          <w:b/>
          <w:bCs/>
          <w:sz w:val="28"/>
          <w:szCs w:val="28"/>
        </w:rPr>
        <w:t>mesure de la contribution génétique à la variation phénotypique :</w:t>
      </w:r>
    </w:p>
    <w:p w:rsidR="00AF016F" w:rsidRDefault="007B6331" w:rsidP="00143C99">
      <w:pPr>
        <w:spacing w:after="100" w:afterAutospacing="1" w:line="360" w:lineRule="auto"/>
        <w:jc w:val="both"/>
        <w:rPr>
          <w:rFonts w:asciiTheme="majorBidi" w:hAnsiTheme="majorBidi" w:cstheme="majorBidi"/>
          <w:sz w:val="28"/>
          <w:szCs w:val="28"/>
        </w:rPr>
      </w:pPr>
      <w:r w:rsidRPr="007B6331">
        <w:rPr>
          <w:rFonts w:asciiTheme="majorBidi" w:hAnsiTheme="majorBidi" w:cstheme="majorBidi"/>
          <w:sz w:val="28"/>
          <w:szCs w:val="28"/>
        </w:rPr>
        <w:t>Une question récurrente posée par les généticiens travaillant avec</w:t>
      </w:r>
      <w:r w:rsidR="00867809">
        <w:rPr>
          <w:rFonts w:asciiTheme="majorBidi" w:hAnsiTheme="majorBidi" w:cstheme="majorBidi"/>
          <w:sz w:val="28"/>
          <w:szCs w:val="28"/>
        </w:rPr>
        <w:t xml:space="preserve"> des caractères multifactoriels concerne la part relative des facteurs génétiques par rapport aux effets de l’environnement sur la variation phénotypique </w:t>
      </w:r>
      <w:r w:rsidR="00A82E21">
        <w:rPr>
          <w:rFonts w:asciiTheme="majorBidi" w:hAnsiTheme="majorBidi" w:cstheme="majorBidi"/>
          <w:sz w:val="28"/>
          <w:szCs w:val="28"/>
        </w:rPr>
        <w:t>observée entre les individus.</w:t>
      </w:r>
    </w:p>
    <w:p w:rsidR="007B6331" w:rsidRPr="00E710EA" w:rsidRDefault="00AA4257" w:rsidP="00E710EA">
      <w:pPr>
        <w:pStyle w:val="Paragraphedeliste"/>
        <w:numPr>
          <w:ilvl w:val="0"/>
          <w:numId w:val="11"/>
        </w:numPr>
        <w:spacing w:after="100" w:afterAutospacing="1" w:line="360" w:lineRule="auto"/>
        <w:jc w:val="both"/>
        <w:rPr>
          <w:rFonts w:asciiTheme="majorBidi" w:hAnsiTheme="majorBidi" w:cstheme="majorBidi"/>
          <w:sz w:val="28"/>
          <w:szCs w:val="28"/>
        </w:rPr>
      </w:pPr>
      <w:r w:rsidRPr="00E710EA">
        <w:rPr>
          <w:rFonts w:asciiTheme="majorBidi" w:hAnsiTheme="majorBidi" w:cstheme="majorBidi"/>
          <w:b/>
          <w:bCs/>
          <w:sz w:val="28"/>
          <w:szCs w:val="28"/>
        </w:rPr>
        <w:t>Notion d’héritabilité</w:t>
      </w:r>
      <w:r w:rsidR="00AF016F" w:rsidRPr="00E710EA">
        <w:rPr>
          <w:rFonts w:asciiTheme="majorBidi" w:hAnsiTheme="majorBidi" w:cstheme="majorBidi"/>
          <w:b/>
          <w:bCs/>
          <w:sz w:val="28"/>
          <w:szCs w:val="28"/>
        </w:rPr>
        <w:t xml:space="preserve"> : </w:t>
      </w:r>
      <w:r w:rsidR="00A82E21" w:rsidRPr="00E710EA">
        <w:rPr>
          <w:rFonts w:asciiTheme="majorBidi" w:hAnsiTheme="majorBidi" w:cstheme="majorBidi"/>
          <w:sz w:val="28"/>
          <w:szCs w:val="28"/>
        </w:rPr>
        <w:t xml:space="preserve">Le terme </w:t>
      </w:r>
      <w:r w:rsidR="00A82E21" w:rsidRPr="00E710EA">
        <w:rPr>
          <w:rFonts w:asciiTheme="majorBidi" w:hAnsiTheme="majorBidi" w:cstheme="majorBidi"/>
          <w:b/>
          <w:bCs/>
          <w:sz w:val="28"/>
          <w:szCs w:val="28"/>
        </w:rPr>
        <w:t>héritabilité</w:t>
      </w:r>
      <w:r w:rsidR="00F46ED4">
        <w:rPr>
          <w:rFonts w:asciiTheme="majorBidi" w:hAnsiTheme="majorBidi" w:cstheme="majorBidi"/>
          <w:b/>
          <w:bCs/>
          <w:sz w:val="28"/>
          <w:szCs w:val="28"/>
        </w:rPr>
        <w:t xml:space="preserve"> </w:t>
      </w:r>
      <w:r w:rsidR="008375BF" w:rsidRPr="00E710EA">
        <w:rPr>
          <w:rFonts w:asciiTheme="majorBidi" w:hAnsiTheme="majorBidi" w:cstheme="majorBidi"/>
          <w:sz w:val="28"/>
          <w:szCs w:val="28"/>
        </w:rPr>
        <w:t>est utilisé pour désigner la proportion de la variation phénotypique totale qui est due aux facteurs génétiques. Pour un caractère multifactoriel d’une population donnée, une héritabilité élevée indique que la variation phénotypique est majoritairement liée à des facteurs génétiques et que l’environnement a moins d’effet sur</w:t>
      </w:r>
      <w:r w:rsidR="00414384" w:rsidRPr="00E710EA">
        <w:rPr>
          <w:rFonts w:asciiTheme="majorBidi" w:hAnsiTheme="majorBidi" w:cstheme="majorBidi"/>
          <w:sz w:val="28"/>
          <w:szCs w:val="28"/>
        </w:rPr>
        <w:t xml:space="preserve"> l’expression de ce caractère. Au contraire, une héritabilité faible traduit un impact important de l’environnement sur l’expression du caractère au sein de la population.</w:t>
      </w:r>
    </w:p>
    <w:p w:rsidR="00DA50BA" w:rsidRDefault="00414384" w:rsidP="007E0F8D">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Le concept d’héritabilité est fréquemment mal compris et mal utilisé. Il est important de préciser qu’il n’indique pas quelle proportion d’un caractère est déterminée génétiquement ou quelle part du phénotype d’un individu est déterminée par son génotype. Ces dernière</w:t>
      </w:r>
      <w:r w:rsidR="00BB4594">
        <w:rPr>
          <w:rFonts w:asciiTheme="majorBidi" w:hAnsiTheme="majorBidi" w:cstheme="majorBidi"/>
          <w:sz w:val="28"/>
          <w:szCs w:val="28"/>
        </w:rPr>
        <w:t>s</w:t>
      </w:r>
      <w:r>
        <w:rPr>
          <w:rFonts w:asciiTheme="majorBidi" w:hAnsiTheme="majorBidi" w:cstheme="majorBidi"/>
          <w:sz w:val="28"/>
          <w:szCs w:val="28"/>
        </w:rPr>
        <w:t xml:space="preserve"> années, une mauvaise interprétation de l’héritabilité, pour des caractères</w:t>
      </w:r>
      <w:r w:rsidR="00BB4594">
        <w:rPr>
          <w:rFonts w:asciiTheme="majorBidi" w:hAnsiTheme="majorBidi" w:cstheme="majorBidi"/>
          <w:sz w:val="28"/>
          <w:szCs w:val="28"/>
        </w:rPr>
        <w:t xml:space="preserve"> quantitatifs humains, a conduit à des controverses, en particulier dans l’interprétation </w:t>
      </w:r>
      <w:r w:rsidR="00310482">
        <w:rPr>
          <w:rFonts w:asciiTheme="majorBidi" w:hAnsiTheme="majorBidi" w:cstheme="majorBidi"/>
          <w:sz w:val="28"/>
          <w:szCs w:val="28"/>
        </w:rPr>
        <w:t xml:space="preserve">des mesures du quotient intellectuel ou </w:t>
      </w:r>
      <w:proofErr w:type="spellStart"/>
      <w:r w:rsidR="00310482">
        <w:rPr>
          <w:rFonts w:asciiTheme="majorBidi" w:hAnsiTheme="majorBidi" w:cstheme="majorBidi"/>
          <w:sz w:val="28"/>
          <w:szCs w:val="28"/>
        </w:rPr>
        <w:t>Ql</w:t>
      </w:r>
      <w:proofErr w:type="spellEnd"/>
      <w:r w:rsidR="00310482">
        <w:rPr>
          <w:rFonts w:asciiTheme="majorBidi" w:hAnsiTheme="majorBidi" w:cstheme="majorBidi"/>
          <w:sz w:val="28"/>
          <w:szCs w:val="28"/>
        </w:rPr>
        <w:t xml:space="preserve">. Les variations dans les estimations d’héritabilité des </w:t>
      </w:r>
      <w:proofErr w:type="spellStart"/>
      <w:r w:rsidR="00310482">
        <w:rPr>
          <w:rFonts w:asciiTheme="majorBidi" w:hAnsiTheme="majorBidi" w:cstheme="majorBidi"/>
          <w:sz w:val="28"/>
          <w:szCs w:val="28"/>
        </w:rPr>
        <w:t>Ql</w:t>
      </w:r>
      <w:proofErr w:type="spellEnd"/>
      <w:r w:rsidR="00310482">
        <w:rPr>
          <w:rFonts w:asciiTheme="majorBidi" w:hAnsiTheme="majorBidi" w:cstheme="majorBidi"/>
          <w:sz w:val="28"/>
          <w:szCs w:val="28"/>
        </w:rPr>
        <w:t xml:space="preserve"> entre différents groupes raciaux ont conduit à des conclusions incorrectes qui tendaient à dire que des bases génétiques étaient à l’origine de différences de niveau d’intelligence mesurées entre les groupes raciaux. Ces insinuations interprètent mal le </w:t>
      </w:r>
      <w:r w:rsidR="007E0F8D">
        <w:rPr>
          <w:rFonts w:asciiTheme="majorBidi" w:hAnsiTheme="majorBidi" w:cstheme="majorBidi"/>
          <w:sz w:val="28"/>
          <w:szCs w:val="28"/>
        </w:rPr>
        <w:t>concept d’héritabilité et ignorent notamment l’impact de la relation génotype-environnement sur la variation phénotypique dans une population. De plus, l’héritabilité n’est pas constante pour un caractère donné. Par exemple, la valeur d’héritabilité de la production d’œufs dans un</w:t>
      </w:r>
      <w:r w:rsidR="00A14270">
        <w:rPr>
          <w:rFonts w:asciiTheme="majorBidi" w:hAnsiTheme="majorBidi" w:cstheme="majorBidi"/>
          <w:sz w:val="28"/>
          <w:szCs w:val="28"/>
        </w:rPr>
        <w:t xml:space="preserve"> groupe de </w:t>
      </w:r>
      <w:r w:rsidR="00A14270">
        <w:rPr>
          <w:rFonts w:asciiTheme="majorBidi" w:hAnsiTheme="majorBidi" w:cstheme="majorBidi"/>
          <w:sz w:val="28"/>
          <w:szCs w:val="28"/>
        </w:rPr>
        <w:lastRenderedPageBreak/>
        <w:t xml:space="preserve">poules maintenues en cages individuelles peut s’avérer élevée, indiquant que les différences de productions d’œufs entre les individus sont largement </w:t>
      </w:r>
      <w:proofErr w:type="gramStart"/>
      <w:r w:rsidR="00A14270">
        <w:rPr>
          <w:rFonts w:asciiTheme="majorBidi" w:hAnsiTheme="majorBidi" w:cstheme="majorBidi"/>
          <w:sz w:val="28"/>
          <w:szCs w:val="28"/>
        </w:rPr>
        <w:t>dues</w:t>
      </w:r>
      <w:proofErr w:type="gramEnd"/>
      <w:r w:rsidR="00A14270">
        <w:rPr>
          <w:rFonts w:asciiTheme="majorBidi" w:hAnsiTheme="majorBidi" w:cstheme="majorBidi"/>
          <w:sz w:val="28"/>
          <w:szCs w:val="28"/>
        </w:rPr>
        <w:t xml:space="preserve"> à des différences génétiques dans la mesures ou les poules sont maintenues dans des environnements similaires. Pour un autre groupe de poules, élevée en plein, l’héritabilité de la production en œuf peut se révéler plus faible et ces différences peuvent refléter la variation d’</w:t>
      </w:r>
      <w:proofErr w:type="spellStart"/>
      <w:r w:rsidR="00A14270">
        <w:rPr>
          <w:rFonts w:asciiTheme="majorBidi" w:hAnsiTheme="majorBidi" w:cstheme="majorBidi"/>
          <w:sz w:val="28"/>
          <w:szCs w:val="28"/>
        </w:rPr>
        <w:t>environnement.</w:t>
      </w:r>
      <w:r w:rsidR="00E33E06">
        <w:rPr>
          <w:rFonts w:asciiTheme="majorBidi" w:hAnsiTheme="majorBidi" w:cstheme="majorBidi"/>
          <w:sz w:val="28"/>
          <w:szCs w:val="28"/>
        </w:rPr>
        <w:t>Ces</w:t>
      </w:r>
      <w:proofErr w:type="spellEnd"/>
      <w:r w:rsidR="00E33E06">
        <w:rPr>
          <w:rFonts w:asciiTheme="majorBidi" w:hAnsiTheme="majorBidi" w:cstheme="majorBidi"/>
          <w:sz w:val="28"/>
          <w:szCs w:val="28"/>
        </w:rPr>
        <w:t xml:space="preserve"> </w:t>
      </w:r>
      <w:r w:rsidR="005959A4">
        <w:rPr>
          <w:rFonts w:asciiTheme="majorBidi" w:hAnsiTheme="majorBidi" w:cstheme="majorBidi"/>
          <w:sz w:val="28"/>
          <w:szCs w:val="28"/>
        </w:rPr>
        <w:t>différences</w:t>
      </w:r>
      <w:r w:rsidR="00E33E06">
        <w:rPr>
          <w:rFonts w:asciiTheme="majorBidi" w:hAnsiTheme="majorBidi" w:cstheme="majorBidi"/>
          <w:sz w:val="28"/>
          <w:szCs w:val="28"/>
        </w:rPr>
        <w:t xml:space="preserve"> peuvent inclure la quantité de nourriture que les volatiles arrivent à trouver et la manière</w:t>
      </w:r>
      <w:r w:rsidR="005959A4">
        <w:rPr>
          <w:rFonts w:asciiTheme="majorBidi" w:hAnsiTheme="majorBidi" w:cstheme="majorBidi"/>
          <w:sz w:val="28"/>
          <w:szCs w:val="28"/>
        </w:rPr>
        <w:t xml:space="preserve"> dont ils entrent en compétition pour trouver un bon perchoir afin </w:t>
      </w:r>
      <w:r w:rsidR="00A620AA">
        <w:rPr>
          <w:rFonts w:asciiTheme="majorBidi" w:hAnsiTheme="majorBidi" w:cstheme="majorBidi"/>
          <w:sz w:val="28"/>
          <w:szCs w:val="28"/>
        </w:rPr>
        <w:t xml:space="preserve">d’y passer la nuit. L’héritabilité nous indique donc la proportion de la variation phénotypique qui peut être </w:t>
      </w:r>
      <w:r w:rsidR="002364C7">
        <w:rPr>
          <w:rFonts w:asciiTheme="majorBidi" w:hAnsiTheme="majorBidi" w:cstheme="majorBidi"/>
          <w:sz w:val="28"/>
          <w:szCs w:val="28"/>
        </w:rPr>
        <w:t xml:space="preserve">attribuée à des variations génétiques pour une population donnée dans un environnement donné. Si nous mesurons l’héritabilité pour le même caractère dans plusieurs populations vivant dans des </w:t>
      </w:r>
      <w:r w:rsidR="00E710EA">
        <w:rPr>
          <w:rFonts w:asciiTheme="majorBidi" w:hAnsiTheme="majorBidi" w:cstheme="majorBidi"/>
          <w:sz w:val="28"/>
          <w:szCs w:val="28"/>
        </w:rPr>
        <w:t>environnements</w:t>
      </w:r>
      <w:r w:rsidR="002364C7">
        <w:rPr>
          <w:rFonts w:asciiTheme="majorBidi" w:hAnsiTheme="majorBidi" w:cstheme="majorBidi"/>
          <w:sz w:val="28"/>
          <w:szCs w:val="28"/>
        </w:rPr>
        <w:t xml:space="preserve"> différents, nous trouverons fréquemment que les valeurs</w:t>
      </w:r>
      <w:r w:rsidR="002A6D22">
        <w:rPr>
          <w:rFonts w:asciiTheme="majorBidi" w:hAnsiTheme="majorBidi" w:cstheme="majorBidi"/>
          <w:sz w:val="28"/>
          <w:szCs w:val="28"/>
        </w:rPr>
        <w:t xml:space="preserve"> d’héritabilité calculées ont des écart-type élevée. Ceci est un point important dont il faut se souvenir, en particulier pour le calcul d’héritabilité au sein de populations humaines. Une valeur moyenne d’héritabilité de 0.65 pour la taille humaine ne signifie pas que votre taille est à 65% contrôlée par vos gènes, mais plutôt que dans l’échantillon de population étudié, en moyenne </w:t>
      </w:r>
      <w:r w:rsidR="00DA50BA">
        <w:rPr>
          <w:rFonts w:asciiTheme="majorBidi" w:hAnsiTheme="majorBidi" w:cstheme="majorBidi"/>
          <w:sz w:val="28"/>
          <w:szCs w:val="28"/>
        </w:rPr>
        <w:t>65% de la variation de la stature peut être attribuée à des différences génotypiques entre individus.</w:t>
      </w:r>
    </w:p>
    <w:p w:rsidR="00E710EA" w:rsidRPr="00615676" w:rsidRDefault="00E710EA" w:rsidP="00615676">
      <w:pPr>
        <w:pStyle w:val="Paragraphedeliste"/>
        <w:numPr>
          <w:ilvl w:val="0"/>
          <w:numId w:val="18"/>
        </w:numPr>
        <w:spacing w:after="100" w:afterAutospacing="1" w:line="360" w:lineRule="auto"/>
        <w:jc w:val="both"/>
        <w:rPr>
          <w:rFonts w:asciiTheme="majorBidi" w:hAnsiTheme="majorBidi" w:cstheme="majorBidi"/>
          <w:sz w:val="28"/>
          <w:szCs w:val="28"/>
        </w:rPr>
      </w:pPr>
      <w:r w:rsidRPr="00615676">
        <w:rPr>
          <w:rFonts w:asciiTheme="majorBidi" w:hAnsiTheme="majorBidi" w:cstheme="majorBidi"/>
          <w:b/>
          <w:bCs/>
          <w:sz w:val="28"/>
          <w:szCs w:val="28"/>
        </w:rPr>
        <w:t>Composantes de</w:t>
      </w:r>
      <w:r w:rsidR="009A2FBC">
        <w:rPr>
          <w:rFonts w:asciiTheme="majorBidi" w:hAnsiTheme="majorBidi" w:cstheme="majorBidi"/>
          <w:b/>
          <w:bCs/>
          <w:sz w:val="28"/>
          <w:szCs w:val="28"/>
        </w:rPr>
        <w:t xml:space="preserve"> </w:t>
      </w:r>
      <w:r w:rsidRPr="00615676">
        <w:rPr>
          <w:rFonts w:asciiTheme="majorBidi" w:hAnsiTheme="majorBidi" w:cstheme="majorBidi"/>
          <w:b/>
          <w:bCs/>
          <w:sz w:val="28"/>
          <w:szCs w:val="28"/>
        </w:rPr>
        <w:t>la</w:t>
      </w:r>
      <w:r w:rsidR="009A2FBC">
        <w:rPr>
          <w:rFonts w:asciiTheme="majorBidi" w:hAnsiTheme="majorBidi" w:cstheme="majorBidi"/>
          <w:b/>
          <w:bCs/>
          <w:sz w:val="28"/>
          <w:szCs w:val="28"/>
        </w:rPr>
        <w:t xml:space="preserve">  </w:t>
      </w:r>
      <w:r w:rsidRPr="00615676">
        <w:rPr>
          <w:rFonts w:asciiTheme="majorBidi" w:hAnsiTheme="majorBidi" w:cstheme="majorBidi"/>
          <w:b/>
          <w:bCs/>
          <w:sz w:val="28"/>
          <w:szCs w:val="28"/>
        </w:rPr>
        <w:t>variance</w:t>
      </w:r>
      <w:r w:rsidR="009A2FBC">
        <w:rPr>
          <w:rFonts w:asciiTheme="majorBidi" w:hAnsiTheme="majorBidi" w:cstheme="majorBidi"/>
          <w:b/>
          <w:bCs/>
          <w:sz w:val="28"/>
          <w:szCs w:val="28"/>
        </w:rPr>
        <w:t xml:space="preserve"> </w:t>
      </w:r>
      <w:r w:rsidRPr="00615676">
        <w:rPr>
          <w:rFonts w:asciiTheme="majorBidi" w:hAnsiTheme="majorBidi" w:cstheme="majorBidi"/>
          <w:b/>
          <w:bCs/>
          <w:sz w:val="28"/>
          <w:szCs w:val="28"/>
        </w:rPr>
        <w:t>phénotypique:</w:t>
      </w:r>
    </w:p>
    <w:p w:rsidR="00414384" w:rsidRDefault="00E710EA" w:rsidP="00E710EA">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N</w:t>
      </w:r>
      <w:r w:rsidR="00DA50BA">
        <w:rPr>
          <w:rFonts w:asciiTheme="majorBidi" w:hAnsiTheme="majorBidi" w:cstheme="majorBidi"/>
          <w:sz w:val="28"/>
          <w:szCs w:val="28"/>
        </w:rPr>
        <w:t xml:space="preserve">ous pouvons considérer maintenant comment les généticiens </w:t>
      </w:r>
      <w:r w:rsidR="00D24F72">
        <w:rPr>
          <w:rFonts w:asciiTheme="majorBidi" w:hAnsiTheme="majorBidi" w:cstheme="majorBidi"/>
          <w:sz w:val="28"/>
          <w:szCs w:val="28"/>
        </w:rPr>
        <w:t xml:space="preserve">séparent la variation phénotypique dans une population, en facteurs génétiques et environnementaux. Comme nous </w:t>
      </w:r>
      <w:r w:rsidR="00E92C93">
        <w:rPr>
          <w:rFonts w:asciiTheme="majorBidi" w:hAnsiTheme="majorBidi" w:cstheme="majorBidi"/>
          <w:sz w:val="28"/>
          <w:szCs w:val="28"/>
        </w:rPr>
        <w:t>l’avons vu dans les parties précédentes, cette</w:t>
      </w:r>
      <w:r w:rsidR="00A664B9">
        <w:rPr>
          <w:rFonts w:asciiTheme="majorBidi" w:hAnsiTheme="majorBidi" w:cstheme="majorBidi"/>
          <w:sz w:val="28"/>
          <w:szCs w:val="28"/>
        </w:rPr>
        <w:t xml:space="preserve"> variation peut être quantifiée sous forme de variance d’échantillon : c'est-à-dire en prenant des mesures du caractère en question à partir d’un ensemble représentatif de la population et en déterminant la dispersion de ces mesures autour de la moyenne. </w:t>
      </w:r>
      <w:r w:rsidR="00D01D4D">
        <w:rPr>
          <w:rFonts w:asciiTheme="majorBidi" w:hAnsiTheme="majorBidi" w:cstheme="majorBidi"/>
          <w:sz w:val="28"/>
          <w:szCs w:val="28"/>
        </w:rPr>
        <w:t>Ceci nous donne une estimation de la variance phénotypique totale (</w:t>
      </w:r>
      <w:r w:rsidR="000337C9">
        <w:rPr>
          <w:rFonts w:asciiTheme="majorBidi" w:hAnsiTheme="majorBidi" w:cstheme="majorBidi"/>
          <w:i/>
          <w:iCs/>
          <w:sz w:val="28"/>
          <w:szCs w:val="28"/>
        </w:rPr>
        <w:t>V</w:t>
      </w:r>
      <w:r w:rsidR="000337C9">
        <w:rPr>
          <w:rFonts w:asciiTheme="majorBidi" w:hAnsiTheme="majorBidi" w:cstheme="majorBidi"/>
          <w:sz w:val="28"/>
          <w:szCs w:val="28"/>
          <w:vertAlign w:val="subscript"/>
        </w:rPr>
        <w:t>P</w:t>
      </w:r>
      <w:r w:rsidR="00D01D4D">
        <w:rPr>
          <w:rFonts w:asciiTheme="majorBidi" w:hAnsiTheme="majorBidi" w:cstheme="majorBidi"/>
          <w:sz w:val="28"/>
          <w:szCs w:val="28"/>
        </w:rPr>
        <w:t xml:space="preserve">). </w:t>
      </w:r>
      <w:proofErr w:type="gramStart"/>
      <w:r w:rsidR="00D01D4D">
        <w:rPr>
          <w:rFonts w:asciiTheme="majorBidi" w:hAnsiTheme="majorBidi" w:cstheme="majorBidi"/>
          <w:sz w:val="28"/>
          <w:szCs w:val="28"/>
        </w:rPr>
        <w:t>les</w:t>
      </w:r>
      <w:proofErr w:type="gramEnd"/>
      <w:r w:rsidR="00D01D4D">
        <w:rPr>
          <w:rFonts w:asciiTheme="majorBidi" w:hAnsiTheme="majorBidi" w:cstheme="majorBidi"/>
          <w:sz w:val="28"/>
          <w:szCs w:val="28"/>
        </w:rPr>
        <w:t xml:space="preserve"> estimations de l’héritabilité sont obtenues en utilisant différents dispositifs expérimentaux et des tests statistiques pour diviser </w:t>
      </w:r>
      <w:proofErr w:type="spellStart"/>
      <w:r w:rsidR="00D01D4D">
        <w:rPr>
          <w:rFonts w:asciiTheme="majorBidi" w:hAnsiTheme="majorBidi" w:cstheme="majorBidi"/>
          <w:i/>
          <w:iCs/>
          <w:sz w:val="28"/>
          <w:szCs w:val="28"/>
        </w:rPr>
        <w:t>v</w:t>
      </w:r>
      <w:r w:rsidR="00D01D4D">
        <w:rPr>
          <w:rFonts w:asciiTheme="majorBidi" w:hAnsiTheme="majorBidi" w:cstheme="majorBidi"/>
          <w:sz w:val="28"/>
          <w:szCs w:val="28"/>
          <w:vertAlign w:val="subscript"/>
        </w:rPr>
        <w:t>p</w:t>
      </w:r>
      <w:proofErr w:type="spellEnd"/>
      <w:r w:rsidR="00D01D4D">
        <w:rPr>
          <w:rFonts w:asciiTheme="majorBidi" w:hAnsiTheme="majorBidi" w:cstheme="majorBidi"/>
          <w:sz w:val="28"/>
          <w:szCs w:val="28"/>
        </w:rPr>
        <w:t xml:space="preserve"> en </w:t>
      </w:r>
      <w:r w:rsidR="00D01D4D" w:rsidRPr="00D01D4D">
        <w:rPr>
          <w:rFonts w:asciiTheme="majorBidi" w:hAnsiTheme="majorBidi" w:cstheme="majorBidi"/>
          <w:b/>
          <w:bCs/>
          <w:sz w:val="28"/>
          <w:szCs w:val="28"/>
        </w:rPr>
        <w:t>variance</w:t>
      </w:r>
      <w:r w:rsidR="009A2FBC">
        <w:rPr>
          <w:rFonts w:asciiTheme="majorBidi" w:hAnsiTheme="majorBidi" w:cstheme="majorBidi"/>
          <w:b/>
          <w:bCs/>
          <w:sz w:val="28"/>
          <w:szCs w:val="28"/>
        </w:rPr>
        <w:t xml:space="preserve"> </w:t>
      </w:r>
      <w:r w:rsidR="00D01D4D" w:rsidRPr="00D01D4D">
        <w:rPr>
          <w:rFonts w:asciiTheme="majorBidi" w:hAnsiTheme="majorBidi" w:cstheme="majorBidi"/>
          <w:b/>
          <w:bCs/>
          <w:sz w:val="28"/>
          <w:szCs w:val="28"/>
        </w:rPr>
        <w:t>génotypique</w:t>
      </w:r>
      <w:r w:rsidR="009A2FBC">
        <w:rPr>
          <w:rFonts w:asciiTheme="majorBidi" w:hAnsiTheme="majorBidi" w:cstheme="majorBidi"/>
          <w:b/>
          <w:bCs/>
          <w:sz w:val="28"/>
          <w:szCs w:val="28"/>
        </w:rPr>
        <w:t xml:space="preserve"> </w:t>
      </w:r>
      <w:r w:rsidR="000337C9">
        <w:rPr>
          <w:rFonts w:asciiTheme="majorBidi" w:hAnsiTheme="majorBidi" w:cstheme="majorBidi"/>
          <w:sz w:val="28"/>
          <w:szCs w:val="28"/>
        </w:rPr>
        <w:t>(</w:t>
      </w:r>
      <w:r w:rsidR="000337C9">
        <w:rPr>
          <w:rFonts w:asciiTheme="majorBidi" w:hAnsiTheme="majorBidi" w:cstheme="majorBidi"/>
          <w:i/>
          <w:iCs/>
          <w:sz w:val="28"/>
          <w:szCs w:val="28"/>
        </w:rPr>
        <w:t>V</w:t>
      </w:r>
      <w:r w:rsidR="000337C9">
        <w:rPr>
          <w:rFonts w:asciiTheme="majorBidi" w:hAnsiTheme="majorBidi" w:cstheme="majorBidi"/>
          <w:b/>
          <w:bCs/>
          <w:sz w:val="28"/>
          <w:szCs w:val="28"/>
          <w:vertAlign w:val="subscript"/>
        </w:rPr>
        <w:t>G</w:t>
      </w:r>
      <w:r w:rsidR="000337C9">
        <w:rPr>
          <w:rFonts w:asciiTheme="majorBidi" w:hAnsiTheme="majorBidi" w:cstheme="majorBidi"/>
          <w:b/>
          <w:bCs/>
          <w:sz w:val="28"/>
          <w:szCs w:val="28"/>
        </w:rPr>
        <w:t>)</w:t>
      </w:r>
      <w:r w:rsidR="000337C9">
        <w:rPr>
          <w:rFonts w:asciiTheme="majorBidi" w:hAnsiTheme="majorBidi" w:cstheme="majorBidi"/>
          <w:sz w:val="28"/>
          <w:szCs w:val="28"/>
        </w:rPr>
        <w:t xml:space="preserve"> et </w:t>
      </w:r>
      <w:r w:rsidR="000337C9" w:rsidRPr="000337C9">
        <w:rPr>
          <w:rFonts w:asciiTheme="majorBidi" w:hAnsiTheme="majorBidi" w:cstheme="majorBidi"/>
          <w:b/>
          <w:bCs/>
          <w:sz w:val="28"/>
          <w:szCs w:val="28"/>
        </w:rPr>
        <w:t>variance</w:t>
      </w:r>
      <w:r w:rsidR="009A2FBC">
        <w:rPr>
          <w:rFonts w:asciiTheme="majorBidi" w:hAnsiTheme="majorBidi" w:cstheme="majorBidi"/>
          <w:b/>
          <w:bCs/>
          <w:sz w:val="28"/>
          <w:szCs w:val="28"/>
        </w:rPr>
        <w:t xml:space="preserve"> </w:t>
      </w:r>
      <w:r w:rsidR="000337C9" w:rsidRPr="000337C9">
        <w:rPr>
          <w:rFonts w:asciiTheme="majorBidi" w:hAnsiTheme="majorBidi" w:cstheme="majorBidi"/>
          <w:b/>
          <w:bCs/>
          <w:sz w:val="28"/>
          <w:szCs w:val="28"/>
        </w:rPr>
        <w:t>environnementale</w:t>
      </w:r>
      <w:r w:rsidR="000337C9">
        <w:rPr>
          <w:rFonts w:asciiTheme="majorBidi" w:hAnsiTheme="majorBidi" w:cstheme="majorBidi"/>
          <w:sz w:val="28"/>
          <w:szCs w:val="28"/>
        </w:rPr>
        <w:t xml:space="preserve"> (</w:t>
      </w:r>
      <w:r w:rsidR="000337C9">
        <w:rPr>
          <w:rFonts w:asciiTheme="majorBidi" w:hAnsiTheme="majorBidi" w:cstheme="majorBidi"/>
          <w:i/>
          <w:iCs/>
          <w:sz w:val="28"/>
          <w:szCs w:val="28"/>
        </w:rPr>
        <w:t>V</w:t>
      </w:r>
      <w:r w:rsidR="000337C9">
        <w:rPr>
          <w:rFonts w:asciiTheme="majorBidi" w:hAnsiTheme="majorBidi" w:cstheme="majorBidi"/>
          <w:i/>
          <w:iCs/>
          <w:sz w:val="28"/>
          <w:szCs w:val="28"/>
          <w:vertAlign w:val="subscript"/>
        </w:rPr>
        <w:t>E</w:t>
      </w:r>
      <w:r w:rsidR="000337C9">
        <w:rPr>
          <w:rFonts w:asciiTheme="majorBidi" w:hAnsiTheme="majorBidi" w:cstheme="majorBidi"/>
          <w:sz w:val="28"/>
          <w:szCs w:val="28"/>
        </w:rPr>
        <w:t>).</w:t>
      </w:r>
    </w:p>
    <w:p w:rsidR="00915AE6" w:rsidRDefault="000337C9" w:rsidP="009A2FBC">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lastRenderedPageBreak/>
        <w:t>Un trois</w:t>
      </w:r>
      <w:r w:rsidR="0007338F">
        <w:rPr>
          <w:rFonts w:asciiTheme="majorBidi" w:hAnsiTheme="majorBidi" w:cstheme="majorBidi"/>
          <w:sz w:val="28"/>
          <w:szCs w:val="28"/>
        </w:rPr>
        <w:t>i</w:t>
      </w:r>
      <w:r>
        <w:rPr>
          <w:rFonts w:asciiTheme="majorBidi" w:hAnsiTheme="majorBidi" w:cstheme="majorBidi"/>
          <w:sz w:val="28"/>
          <w:szCs w:val="28"/>
        </w:rPr>
        <w:t xml:space="preserve">ème facteur qui contribue à des variations phénotypiques provient de la </w:t>
      </w:r>
      <w:r w:rsidR="0007338F">
        <w:rPr>
          <w:rFonts w:asciiTheme="majorBidi" w:hAnsiTheme="majorBidi" w:cstheme="majorBidi"/>
          <w:sz w:val="28"/>
          <w:szCs w:val="28"/>
        </w:rPr>
        <w:t>manière dont un génotype se traduite par un phénotype différent suivant l’environnement dans lequel il se réalise. Par exemple, la variété de blé A peut produire en moyenne 1260 kg/ha sur un sol pauvre alors que la variété B en produira en moyenne 1071 kg/ha. Sur un bon sol, la variété a produira 1386 kg/ha tandis que la variété B produira 1575 kg/ha. Il existe des</w:t>
      </w:r>
      <w:r w:rsidR="00830AA5">
        <w:rPr>
          <w:rFonts w:asciiTheme="majorBidi" w:hAnsiTheme="majorBidi" w:cstheme="majorBidi"/>
          <w:sz w:val="28"/>
          <w:szCs w:val="28"/>
        </w:rPr>
        <w:t xml:space="preserve"> différences de rendement entre les deux variétés génétiquement différentes donc la variation de production </w:t>
      </w:r>
      <w:proofErr w:type="gramStart"/>
      <w:r w:rsidR="00830AA5">
        <w:rPr>
          <w:rFonts w:asciiTheme="majorBidi" w:hAnsiTheme="majorBidi" w:cstheme="majorBidi"/>
          <w:sz w:val="28"/>
          <w:szCs w:val="28"/>
        </w:rPr>
        <w:t>a</w:t>
      </w:r>
      <w:proofErr w:type="gramEnd"/>
      <w:r w:rsidR="00830AA5">
        <w:rPr>
          <w:rFonts w:asciiTheme="majorBidi" w:hAnsiTheme="majorBidi" w:cstheme="majorBidi"/>
          <w:sz w:val="28"/>
          <w:szCs w:val="28"/>
        </w:rPr>
        <w:t xml:space="preserve"> une composante génétique. Les deux variétés produisent plus sur un sol de bonne qualité donc la production est aussi influencée par l’environnement. Cependant, nous voyons </w:t>
      </w:r>
      <w:r w:rsidR="009074B8">
        <w:rPr>
          <w:rFonts w:asciiTheme="majorBidi" w:hAnsiTheme="majorBidi" w:cstheme="majorBidi"/>
          <w:sz w:val="28"/>
          <w:szCs w:val="28"/>
        </w:rPr>
        <w:t xml:space="preserve">que les deux variétés ne répondent pas de la même manière à </w:t>
      </w:r>
      <w:r w:rsidR="000D4619">
        <w:rPr>
          <w:rFonts w:asciiTheme="majorBidi" w:hAnsiTheme="majorBidi" w:cstheme="majorBidi"/>
          <w:sz w:val="28"/>
          <w:szCs w:val="28"/>
        </w:rPr>
        <w:t>l’amélioration du sol. Les génotypes d</w:t>
      </w:r>
      <w:r w:rsidR="001E5D30">
        <w:rPr>
          <w:rFonts w:asciiTheme="majorBidi" w:hAnsiTheme="majorBidi" w:cstheme="majorBidi"/>
          <w:sz w:val="28"/>
          <w:szCs w:val="28"/>
        </w:rPr>
        <w:t xml:space="preserve">e la variété </w:t>
      </w:r>
      <w:r w:rsidR="000D4619">
        <w:rPr>
          <w:rFonts w:asciiTheme="majorBidi" w:hAnsiTheme="majorBidi" w:cstheme="majorBidi"/>
          <w:sz w:val="28"/>
          <w:szCs w:val="28"/>
        </w:rPr>
        <w:t xml:space="preserve"> B ont une progression de rendement beaucoup plus forte et produisent</w:t>
      </w:r>
      <w:r w:rsidR="001E5D30">
        <w:rPr>
          <w:rFonts w:asciiTheme="majorBidi" w:hAnsiTheme="majorBidi" w:cstheme="majorBidi"/>
          <w:sz w:val="28"/>
          <w:szCs w:val="28"/>
        </w:rPr>
        <w:t xml:space="preserve"> plus que la variété A lorsque le sol est bon. Nous avons ainsi des différences d’interactions entre génotype et environnement qui contribuent aux différences de rendements. Cette troisième composante de la variation phénotypique est la </w:t>
      </w:r>
      <w:r w:rsidR="001E5D30" w:rsidRPr="001E5D30">
        <w:rPr>
          <w:rFonts w:asciiTheme="majorBidi" w:hAnsiTheme="majorBidi" w:cstheme="majorBidi"/>
          <w:b/>
          <w:bCs/>
          <w:sz w:val="28"/>
          <w:szCs w:val="28"/>
        </w:rPr>
        <w:t>variance d’interaction génotype-environnement</w:t>
      </w:r>
      <w:r w:rsidR="009A2FBC">
        <w:rPr>
          <w:rFonts w:asciiTheme="majorBidi" w:hAnsiTheme="majorBidi" w:cstheme="majorBidi"/>
          <w:b/>
          <w:bCs/>
          <w:sz w:val="28"/>
          <w:szCs w:val="28"/>
        </w:rPr>
        <w:t xml:space="preserve"> </w:t>
      </w:r>
      <w:r w:rsidR="00970E9C">
        <w:rPr>
          <w:rFonts w:asciiTheme="majorBidi" w:hAnsiTheme="majorBidi" w:cstheme="majorBidi"/>
          <w:sz w:val="28"/>
          <w:szCs w:val="28"/>
        </w:rPr>
        <w:t>(</w:t>
      </w:r>
      <w:proofErr w:type="spellStart"/>
      <w:r w:rsidR="00970E9C">
        <w:rPr>
          <w:rFonts w:asciiTheme="majorBidi" w:hAnsiTheme="majorBidi" w:cstheme="majorBidi"/>
          <w:i/>
          <w:iCs/>
          <w:sz w:val="28"/>
          <w:szCs w:val="28"/>
        </w:rPr>
        <w:t>V</w:t>
      </w:r>
      <w:r w:rsidR="00970E9C">
        <w:rPr>
          <w:rFonts w:asciiTheme="majorBidi" w:hAnsiTheme="majorBidi" w:cstheme="majorBidi"/>
          <w:i/>
          <w:iCs/>
          <w:sz w:val="28"/>
          <w:szCs w:val="28"/>
          <w:vertAlign w:val="subscript"/>
        </w:rPr>
        <w:t>G</w:t>
      </w:r>
      <w:r w:rsidR="008763ED">
        <w:rPr>
          <w:rFonts w:asciiTheme="majorBidi" w:hAnsiTheme="majorBidi" w:cstheme="majorBidi"/>
          <w:i/>
          <w:iCs/>
          <w:sz w:val="28"/>
          <w:szCs w:val="28"/>
          <w:vertAlign w:val="subscript"/>
        </w:rPr>
        <w:t>xE</w:t>
      </w:r>
      <w:proofErr w:type="spellEnd"/>
      <w:proofErr w:type="gramStart"/>
      <w:r w:rsidR="00970E9C">
        <w:rPr>
          <w:rFonts w:asciiTheme="majorBidi" w:hAnsiTheme="majorBidi" w:cstheme="majorBidi"/>
          <w:sz w:val="28"/>
          <w:szCs w:val="28"/>
        </w:rPr>
        <w:t>)</w:t>
      </w:r>
      <w:r w:rsidR="00FF530E">
        <w:rPr>
          <w:rFonts w:asciiTheme="majorBidi" w:hAnsiTheme="majorBidi" w:cstheme="majorBidi"/>
          <w:sz w:val="28"/>
          <w:szCs w:val="28"/>
        </w:rPr>
        <w:t>(</w:t>
      </w:r>
      <w:proofErr w:type="gramEnd"/>
      <w:r w:rsidR="00FF530E">
        <w:rPr>
          <w:rFonts w:asciiTheme="majorBidi" w:hAnsiTheme="majorBidi" w:cstheme="majorBidi"/>
          <w:sz w:val="28"/>
          <w:szCs w:val="28"/>
        </w:rPr>
        <w:t xml:space="preserve"> figure 2.</w:t>
      </w:r>
      <w:r w:rsidR="009A2FBC">
        <w:rPr>
          <w:rFonts w:asciiTheme="majorBidi" w:hAnsiTheme="majorBidi" w:cstheme="majorBidi"/>
          <w:sz w:val="28"/>
          <w:szCs w:val="28"/>
        </w:rPr>
        <w:t>4</w:t>
      </w:r>
      <w:r w:rsidR="00915AE6">
        <w:rPr>
          <w:rFonts w:asciiTheme="majorBidi" w:hAnsiTheme="majorBidi" w:cstheme="majorBidi"/>
          <w:sz w:val="28"/>
          <w:szCs w:val="28"/>
        </w:rPr>
        <w:t>).</w:t>
      </w:r>
    </w:p>
    <w:p w:rsidR="00915AE6" w:rsidRDefault="00915AE6" w:rsidP="00915AE6">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 xml:space="preserve">Nous pouvons maintenant résumer toutes les composantes de la variance phénotypique totale </w:t>
      </w:r>
      <w:r>
        <w:rPr>
          <w:rFonts w:asciiTheme="majorBidi" w:hAnsiTheme="majorBidi" w:cstheme="majorBidi"/>
          <w:i/>
          <w:iCs/>
          <w:sz w:val="28"/>
          <w:szCs w:val="28"/>
        </w:rPr>
        <w:t>V</w:t>
      </w:r>
      <w:r>
        <w:rPr>
          <w:rFonts w:asciiTheme="majorBidi" w:hAnsiTheme="majorBidi" w:cstheme="majorBidi"/>
          <w:i/>
          <w:iCs/>
          <w:sz w:val="28"/>
          <w:szCs w:val="28"/>
          <w:vertAlign w:val="subscript"/>
        </w:rPr>
        <w:t>P</w:t>
      </w:r>
      <w:r>
        <w:rPr>
          <w:rFonts w:asciiTheme="majorBidi" w:hAnsiTheme="majorBidi" w:cstheme="majorBidi"/>
          <w:sz w:val="28"/>
          <w:szCs w:val="28"/>
        </w:rPr>
        <w:t xml:space="preserve"> par l’équation suivante :</w:t>
      </w:r>
    </w:p>
    <w:p w:rsidR="00915AE6" w:rsidRDefault="00915AE6" w:rsidP="00915AE6">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V</w:t>
      </w:r>
      <w:r>
        <w:rPr>
          <w:rFonts w:asciiTheme="majorBidi" w:hAnsiTheme="majorBidi" w:cstheme="majorBidi"/>
          <w:sz w:val="28"/>
          <w:szCs w:val="28"/>
          <w:vertAlign w:val="subscript"/>
        </w:rPr>
        <w:t xml:space="preserve">P </w:t>
      </w:r>
      <w:r>
        <w:rPr>
          <w:rFonts w:asciiTheme="majorBidi" w:hAnsiTheme="majorBidi" w:cstheme="majorBidi"/>
          <w:sz w:val="28"/>
          <w:szCs w:val="28"/>
        </w:rPr>
        <w:t>= V</w:t>
      </w:r>
      <w:r>
        <w:rPr>
          <w:rFonts w:asciiTheme="majorBidi" w:hAnsiTheme="majorBidi" w:cstheme="majorBidi"/>
          <w:sz w:val="28"/>
          <w:szCs w:val="28"/>
          <w:vertAlign w:val="subscript"/>
        </w:rPr>
        <w:t>G</w:t>
      </w:r>
      <w:r>
        <w:rPr>
          <w:rFonts w:asciiTheme="majorBidi" w:hAnsiTheme="majorBidi" w:cstheme="majorBidi"/>
          <w:sz w:val="28"/>
          <w:szCs w:val="28"/>
        </w:rPr>
        <w:t xml:space="preserve"> + V</w:t>
      </w:r>
      <w:r>
        <w:rPr>
          <w:rFonts w:asciiTheme="majorBidi" w:hAnsiTheme="majorBidi" w:cstheme="majorBidi"/>
          <w:sz w:val="28"/>
          <w:szCs w:val="28"/>
          <w:vertAlign w:val="subscript"/>
        </w:rPr>
        <w:t>E</w:t>
      </w:r>
      <w:r>
        <w:rPr>
          <w:rFonts w:asciiTheme="majorBidi" w:hAnsiTheme="majorBidi" w:cstheme="majorBidi"/>
          <w:sz w:val="28"/>
          <w:szCs w:val="28"/>
        </w:rPr>
        <w:t xml:space="preserve"> + </w:t>
      </w:r>
      <w:proofErr w:type="spellStart"/>
      <w:r>
        <w:rPr>
          <w:rFonts w:asciiTheme="majorBidi" w:hAnsiTheme="majorBidi" w:cstheme="majorBidi"/>
          <w:sz w:val="28"/>
          <w:szCs w:val="28"/>
        </w:rPr>
        <w:t>V</w:t>
      </w:r>
      <w:r>
        <w:rPr>
          <w:rFonts w:asciiTheme="majorBidi" w:hAnsiTheme="majorBidi" w:cstheme="majorBidi"/>
          <w:sz w:val="28"/>
          <w:szCs w:val="28"/>
          <w:vertAlign w:val="subscript"/>
        </w:rPr>
        <w:t>GxE</w:t>
      </w:r>
      <w:proofErr w:type="spellEnd"/>
    </w:p>
    <w:p w:rsidR="009F00B5" w:rsidRDefault="00915AE6" w:rsidP="009A2FBC">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 xml:space="preserve">En </w:t>
      </w:r>
      <w:r w:rsidR="00615676">
        <w:rPr>
          <w:rFonts w:asciiTheme="majorBidi" w:hAnsiTheme="majorBidi" w:cstheme="majorBidi"/>
          <w:sz w:val="28"/>
          <w:szCs w:val="28"/>
        </w:rPr>
        <w:t>d’autres</w:t>
      </w:r>
      <w:r>
        <w:rPr>
          <w:rFonts w:asciiTheme="majorBidi" w:hAnsiTheme="majorBidi" w:cstheme="majorBidi"/>
          <w:sz w:val="28"/>
          <w:szCs w:val="28"/>
        </w:rPr>
        <w:t xml:space="preserve"> termes, la variation phénotypique totale peut être subdivisée en variance génotypique, variance environnementales et variance d’interaction géno</w:t>
      </w:r>
      <w:r w:rsidR="009A2FBC">
        <w:rPr>
          <w:rFonts w:asciiTheme="majorBidi" w:hAnsiTheme="majorBidi" w:cstheme="majorBidi"/>
          <w:sz w:val="28"/>
          <w:szCs w:val="28"/>
        </w:rPr>
        <w:t>type-environnement. Pour mesurer</w:t>
      </w:r>
      <w:r>
        <w:rPr>
          <w:rFonts w:asciiTheme="majorBidi" w:hAnsiTheme="majorBidi" w:cstheme="majorBidi"/>
          <w:sz w:val="28"/>
          <w:szCs w:val="28"/>
        </w:rPr>
        <w:t xml:space="preserve"> l’héritabilité </w:t>
      </w:r>
      <w:r w:rsidR="00DE50BA">
        <w:rPr>
          <w:rFonts w:asciiTheme="majorBidi" w:hAnsiTheme="majorBidi" w:cstheme="majorBidi"/>
          <w:sz w:val="28"/>
          <w:szCs w:val="28"/>
        </w:rPr>
        <w:t>d’un caractère multifactoriel, les chercheurs estiment souvent que la variance d’interaction</w:t>
      </w:r>
      <w:r w:rsidR="00C14591">
        <w:rPr>
          <w:rFonts w:asciiTheme="majorBidi" w:hAnsiTheme="majorBidi" w:cstheme="majorBidi"/>
          <w:sz w:val="28"/>
          <w:szCs w:val="28"/>
        </w:rPr>
        <w:t xml:space="preserve"> génotype-environnement est faible ou assez faible pour être soit ignorée soit incluse dans la variance environnementale. </w:t>
      </w:r>
    </w:p>
    <w:p w:rsidR="009A2FBC" w:rsidRDefault="009A2FBC" w:rsidP="009A2FBC">
      <w:pPr>
        <w:spacing w:after="100" w:afterAutospacing="1" w:line="360" w:lineRule="auto"/>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4582632" cy="1850065"/>
            <wp:effectExtent l="19050" t="0" r="8418" b="0"/>
            <wp:docPr id="11" name="Image 9" descr="C:\Users\ESPACE~1\AppData\Local\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PACE~1\AppData\Local\Temp\2.jpg"/>
                    <pic:cNvPicPr>
                      <a:picLocks noChangeAspect="1" noChangeArrowheads="1"/>
                    </pic:cNvPicPr>
                  </pic:nvPicPr>
                  <pic:blipFill>
                    <a:blip r:embed="rId9"/>
                    <a:srcRect/>
                    <a:stretch>
                      <a:fillRect/>
                    </a:stretch>
                  </pic:blipFill>
                  <pic:spPr bwMode="auto">
                    <a:xfrm>
                      <a:off x="0" y="0"/>
                      <a:ext cx="4581865" cy="1849755"/>
                    </a:xfrm>
                    <a:prstGeom prst="rect">
                      <a:avLst/>
                    </a:prstGeom>
                    <a:noFill/>
                    <a:ln w="9525">
                      <a:noFill/>
                      <a:miter lim="800000"/>
                      <a:headEnd/>
                      <a:tailEnd/>
                    </a:ln>
                  </pic:spPr>
                </pic:pic>
              </a:graphicData>
            </a:graphic>
          </wp:inline>
        </w:drawing>
      </w:r>
    </w:p>
    <w:p w:rsidR="009A2FBC" w:rsidRDefault="009A2FBC" w:rsidP="009A2FBC">
      <w:pPr>
        <w:spacing w:after="100" w:afterAutospacing="1" w:line="360" w:lineRule="auto"/>
        <w:jc w:val="center"/>
        <w:rPr>
          <w:rFonts w:asciiTheme="majorBidi" w:hAnsiTheme="majorBidi" w:cstheme="majorBidi"/>
          <w:sz w:val="28"/>
          <w:szCs w:val="28"/>
        </w:rPr>
      </w:pPr>
      <w:r w:rsidRPr="009A2FBC">
        <w:rPr>
          <w:rFonts w:asciiTheme="majorBidi" w:hAnsiTheme="majorBidi" w:cstheme="majorBidi"/>
          <w:noProof/>
          <w:sz w:val="28"/>
          <w:szCs w:val="28"/>
        </w:rPr>
        <w:drawing>
          <wp:inline distT="0" distB="0" distL="0" distR="0">
            <wp:extent cx="4635799" cy="2328531"/>
            <wp:effectExtent l="19050" t="0" r="0" b="0"/>
            <wp:docPr id="12" name="Image 8" descr="C:\Users\ESPACE~1\AppData\Local\Te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PACE~1\AppData\Local\Temp\4.jpg"/>
                    <pic:cNvPicPr>
                      <a:picLocks noChangeAspect="1" noChangeArrowheads="1"/>
                    </pic:cNvPicPr>
                  </pic:nvPicPr>
                  <pic:blipFill>
                    <a:blip r:embed="rId10"/>
                    <a:srcRect/>
                    <a:stretch>
                      <a:fillRect/>
                    </a:stretch>
                  </pic:blipFill>
                  <pic:spPr bwMode="auto">
                    <a:xfrm>
                      <a:off x="0" y="0"/>
                      <a:ext cx="4635964" cy="2328614"/>
                    </a:xfrm>
                    <a:prstGeom prst="rect">
                      <a:avLst/>
                    </a:prstGeom>
                    <a:noFill/>
                    <a:ln w="9525">
                      <a:noFill/>
                      <a:miter lim="800000"/>
                      <a:headEnd/>
                      <a:tailEnd/>
                    </a:ln>
                  </pic:spPr>
                </pic:pic>
              </a:graphicData>
            </a:graphic>
          </wp:inline>
        </w:drawing>
      </w:r>
    </w:p>
    <w:p w:rsidR="009A2FBC" w:rsidRPr="009A2FBC" w:rsidRDefault="009A2FBC" w:rsidP="009A2FBC">
      <w:pPr>
        <w:spacing w:after="100" w:afterAutospacing="1" w:line="360" w:lineRule="auto"/>
        <w:jc w:val="center"/>
        <w:rPr>
          <w:rFonts w:asciiTheme="majorBidi" w:hAnsiTheme="majorBidi" w:cstheme="majorBidi"/>
          <w:b/>
          <w:bCs/>
          <w:sz w:val="28"/>
          <w:szCs w:val="28"/>
        </w:rPr>
      </w:pPr>
      <w:r w:rsidRPr="009A2FBC">
        <w:rPr>
          <w:rFonts w:asciiTheme="majorBidi" w:hAnsiTheme="majorBidi" w:cstheme="majorBidi"/>
          <w:b/>
          <w:bCs/>
          <w:sz w:val="28"/>
          <w:szCs w:val="28"/>
        </w:rPr>
        <w:t>Figure 2.4.</w:t>
      </w:r>
      <w:r>
        <w:rPr>
          <w:rFonts w:asciiTheme="majorBidi" w:hAnsiTheme="majorBidi" w:cstheme="majorBidi"/>
          <w:b/>
          <w:bCs/>
          <w:sz w:val="28"/>
          <w:szCs w:val="28"/>
        </w:rPr>
        <w:t xml:space="preserve"> </w:t>
      </w:r>
      <w:r w:rsidRPr="009A2FBC">
        <w:rPr>
          <w:rFonts w:asciiTheme="majorBidi" w:hAnsiTheme="majorBidi" w:cstheme="majorBidi"/>
          <w:sz w:val="28"/>
          <w:szCs w:val="28"/>
        </w:rPr>
        <w:t>Exemple  de la variance</w:t>
      </w:r>
      <w:r>
        <w:rPr>
          <w:rFonts w:asciiTheme="majorBidi" w:hAnsiTheme="majorBidi" w:cstheme="majorBidi"/>
          <w:b/>
          <w:bCs/>
          <w:sz w:val="28"/>
          <w:szCs w:val="28"/>
        </w:rPr>
        <w:t xml:space="preserve"> </w:t>
      </w:r>
      <w:r>
        <w:rPr>
          <w:rFonts w:asciiTheme="majorBidi" w:hAnsiTheme="majorBidi" w:cstheme="majorBidi"/>
          <w:sz w:val="28"/>
          <w:szCs w:val="28"/>
        </w:rPr>
        <w:t>d’interaction génotype-environnement</w:t>
      </w:r>
    </w:p>
    <w:p w:rsidR="009A2FBC" w:rsidRDefault="009A2FBC" w:rsidP="009A2FBC">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Cependant, il faut se souvenir que ce type d’approximation justifie que l’héritabilité est estimée pour une population donnée et ne constitue pas en attribut fixe pour un caractère.</w:t>
      </w:r>
    </w:p>
    <w:p w:rsidR="00E20CDE" w:rsidRDefault="00CB572E" w:rsidP="009A2FBC">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 xml:space="preserve">Les sélectionneurs d’animaux ou de plantes utilisent une palette de techniques expérimentales pour évaluer les héritabilités en décomposant les mesures des variances phénotypiques en leurs composantes génotypiques et environnementales. Une des approches consiste à utiliser des souches pures ne contenant que </w:t>
      </w:r>
      <w:proofErr w:type="spellStart"/>
      <w:r>
        <w:rPr>
          <w:rFonts w:asciiTheme="majorBidi" w:hAnsiTheme="majorBidi" w:cstheme="majorBidi"/>
          <w:sz w:val="28"/>
          <w:szCs w:val="28"/>
        </w:rPr>
        <w:t>des</w:t>
      </w:r>
      <w:r w:rsidR="003D58C4">
        <w:rPr>
          <w:rFonts w:asciiTheme="majorBidi" w:hAnsiTheme="majorBidi" w:cstheme="majorBidi"/>
          <w:sz w:val="28"/>
          <w:szCs w:val="28"/>
        </w:rPr>
        <w:t>individus</w:t>
      </w:r>
      <w:proofErr w:type="spellEnd"/>
      <w:r w:rsidR="003D58C4">
        <w:rPr>
          <w:rFonts w:asciiTheme="majorBidi" w:hAnsiTheme="majorBidi" w:cstheme="majorBidi"/>
          <w:sz w:val="28"/>
          <w:szCs w:val="28"/>
        </w:rPr>
        <w:t xml:space="preserve"> génétiquement homogènes avec des génotypes très largement homozygotes pour tester l’impact de différentes conditions environnementales sur la variabilité phénotypique. Les variations entre individus provenant de souches différentes élevées dans un environnement équivalent proviennent probablement de facteurs génétiques. Au contraire, les </w:t>
      </w:r>
      <w:r w:rsidR="00615676">
        <w:rPr>
          <w:rFonts w:asciiTheme="majorBidi" w:hAnsiTheme="majorBidi" w:cstheme="majorBidi"/>
          <w:sz w:val="28"/>
          <w:szCs w:val="28"/>
        </w:rPr>
        <w:t>variations</w:t>
      </w:r>
      <w:r w:rsidR="003D58C4">
        <w:rPr>
          <w:rFonts w:asciiTheme="majorBidi" w:hAnsiTheme="majorBidi" w:cstheme="majorBidi"/>
          <w:sz w:val="28"/>
          <w:szCs w:val="28"/>
        </w:rPr>
        <w:t xml:space="preserve"> entre</w:t>
      </w:r>
      <w:r w:rsidR="00595C39">
        <w:rPr>
          <w:rFonts w:asciiTheme="majorBidi" w:hAnsiTheme="majorBidi" w:cstheme="majorBidi"/>
          <w:sz w:val="28"/>
          <w:szCs w:val="28"/>
        </w:rPr>
        <w:t xml:space="preserve"> individus d’une même lignée </w:t>
      </w:r>
      <w:r w:rsidR="00595C39">
        <w:rPr>
          <w:rFonts w:asciiTheme="majorBidi" w:hAnsiTheme="majorBidi" w:cstheme="majorBidi"/>
          <w:sz w:val="28"/>
          <w:szCs w:val="28"/>
        </w:rPr>
        <w:lastRenderedPageBreak/>
        <w:t>élevés dans des environnements différents sont plus probablement dues à des facteurs environnementaux. D’autres approches impliquent des analyses de variance pour un caractère quantitatif entre descendants de différents croisements, ou la comparaison de l’expression de différents caractères entre parents et descendants élevés d</w:t>
      </w:r>
      <w:r w:rsidR="009F00B5">
        <w:rPr>
          <w:rFonts w:asciiTheme="majorBidi" w:hAnsiTheme="majorBidi" w:cstheme="majorBidi"/>
          <w:sz w:val="28"/>
          <w:szCs w:val="28"/>
        </w:rPr>
        <w:t xml:space="preserve">ans le même environnement. </w:t>
      </w:r>
    </w:p>
    <w:p w:rsidR="00E20CDE" w:rsidRDefault="00E20CDE" w:rsidP="00915AE6">
      <w:pPr>
        <w:spacing w:after="100" w:afterAutospacing="1" w:line="360" w:lineRule="auto"/>
        <w:jc w:val="both"/>
        <w:rPr>
          <w:rFonts w:asciiTheme="majorBidi" w:hAnsiTheme="majorBidi" w:cstheme="majorBidi"/>
          <w:b/>
          <w:bCs/>
          <w:sz w:val="28"/>
          <w:szCs w:val="28"/>
        </w:rPr>
      </w:pPr>
      <w:r w:rsidRPr="00E20CDE">
        <w:rPr>
          <w:rFonts w:asciiTheme="majorBidi" w:hAnsiTheme="majorBidi" w:cstheme="majorBidi"/>
          <w:b/>
          <w:bCs/>
          <w:sz w:val="28"/>
          <w:szCs w:val="28"/>
        </w:rPr>
        <w:t>L’héritabilité au sens large</w:t>
      </w:r>
      <w:r>
        <w:rPr>
          <w:rFonts w:asciiTheme="majorBidi" w:hAnsiTheme="majorBidi" w:cstheme="majorBidi"/>
          <w:b/>
          <w:bCs/>
          <w:sz w:val="28"/>
          <w:szCs w:val="28"/>
        </w:rPr>
        <w:t> :</w:t>
      </w:r>
    </w:p>
    <w:p w:rsidR="00EE5E92" w:rsidRDefault="00480FA7" w:rsidP="00480FA7">
      <w:pPr>
        <w:spacing w:after="100" w:afterAutospacing="1" w:line="360" w:lineRule="auto"/>
        <w:jc w:val="both"/>
        <w:rPr>
          <w:rFonts w:asciiTheme="majorBidi" w:hAnsiTheme="majorBidi" w:cstheme="majorBidi"/>
          <w:sz w:val="28"/>
          <w:szCs w:val="28"/>
        </w:rPr>
      </w:pPr>
      <w:r w:rsidRPr="00480FA7">
        <w:rPr>
          <w:rFonts w:asciiTheme="majorBidi" w:hAnsiTheme="majorBidi" w:cstheme="majorBidi"/>
          <w:sz w:val="28"/>
          <w:szCs w:val="28"/>
        </w:rPr>
        <w:t>L</w:t>
      </w:r>
      <w:r w:rsidRPr="00E20CDE">
        <w:rPr>
          <w:rFonts w:asciiTheme="majorBidi" w:hAnsiTheme="majorBidi" w:cstheme="majorBidi"/>
          <w:b/>
          <w:bCs/>
          <w:sz w:val="28"/>
          <w:szCs w:val="28"/>
        </w:rPr>
        <w:t xml:space="preserve">’héritabilité au sens </w:t>
      </w:r>
      <w:proofErr w:type="gramStart"/>
      <w:r w:rsidRPr="00E20CDE">
        <w:rPr>
          <w:rFonts w:asciiTheme="majorBidi" w:hAnsiTheme="majorBidi" w:cstheme="majorBidi"/>
          <w:b/>
          <w:bCs/>
          <w:sz w:val="28"/>
          <w:szCs w:val="28"/>
        </w:rPr>
        <w:t>large</w:t>
      </w:r>
      <w:r w:rsidRPr="00480FA7">
        <w:rPr>
          <w:rFonts w:asciiTheme="majorBidi" w:hAnsiTheme="majorBidi" w:cstheme="majorBidi"/>
          <w:sz w:val="28"/>
          <w:szCs w:val="28"/>
        </w:rPr>
        <w:t>(</w:t>
      </w:r>
      <w:proofErr w:type="gramEnd"/>
      <w:r w:rsidRPr="00480FA7">
        <w:rPr>
          <w:rFonts w:asciiTheme="majorBidi" w:hAnsiTheme="majorBidi" w:cstheme="majorBidi"/>
          <w:sz w:val="28"/>
          <w:szCs w:val="28"/>
        </w:rPr>
        <w:t>représentée par le terme</w:t>
      </w:r>
      <w:r>
        <w:rPr>
          <w:rFonts w:asciiTheme="majorBidi" w:hAnsiTheme="majorBidi" w:cstheme="majorBidi"/>
          <w:b/>
          <w:bCs/>
          <w:i/>
          <w:iCs/>
          <w:sz w:val="28"/>
          <w:szCs w:val="28"/>
        </w:rPr>
        <w:t>H</w:t>
      </w:r>
      <w:r>
        <w:rPr>
          <w:rFonts w:asciiTheme="majorBidi" w:hAnsiTheme="majorBidi" w:cstheme="majorBidi"/>
          <w:b/>
          <w:bCs/>
          <w:i/>
          <w:iCs/>
          <w:sz w:val="28"/>
          <w:szCs w:val="28"/>
          <w:vertAlign w:val="superscript"/>
        </w:rPr>
        <w:t>2</w:t>
      </w:r>
      <w:r>
        <w:rPr>
          <w:rFonts w:asciiTheme="majorBidi" w:hAnsiTheme="majorBidi" w:cstheme="majorBidi"/>
          <w:sz w:val="28"/>
          <w:szCs w:val="28"/>
        </w:rPr>
        <w:t xml:space="preserve">) mesure la </w:t>
      </w:r>
      <w:r w:rsidR="00EE5E92">
        <w:rPr>
          <w:rFonts w:asciiTheme="majorBidi" w:hAnsiTheme="majorBidi" w:cstheme="majorBidi"/>
          <w:sz w:val="28"/>
          <w:szCs w:val="28"/>
        </w:rPr>
        <w:t>contribution</w:t>
      </w:r>
      <w:r>
        <w:rPr>
          <w:rFonts w:asciiTheme="majorBidi" w:hAnsiTheme="majorBidi" w:cstheme="majorBidi"/>
          <w:sz w:val="28"/>
          <w:szCs w:val="28"/>
        </w:rPr>
        <w:t xml:space="preserve"> de la </w:t>
      </w:r>
      <w:r w:rsidR="00EE5E92">
        <w:rPr>
          <w:rFonts w:asciiTheme="majorBidi" w:hAnsiTheme="majorBidi" w:cstheme="majorBidi"/>
          <w:sz w:val="28"/>
          <w:szCs w:val="28"/>
        </w:rPr>
        <w:t xml:space="preserve">variance </w:t>
      </w:r>
      <w:r>
        <w:rPr>
          <w:rFonts w:asciiTheme="majorBidi" w:hAnsiTheme="majorBidi" w:cstheme="majorBidi"/>
          <w:sz w:val="28"/>
          <w:szCs w:val="28"/>
        </w:rPr>
        <w:t>génotypique</w:t>
      </w:r>
      <w:r w:rsidR="00EE5E92">
        <w:rPr>
          <w:rFonts w:asciiTheme="majorBidi" w:hAnsiTheme="majorBidi" w:cstheme="majorBidi"/>
          <w:sz w:val="28"/>
          <w:szCs w:val="28"/>
        </w:rPr>
        <w:t xml:space="preserve"> à la variation phénotypique totale :</w:t>
      </w:r>
    </w:p>
    <w:p w:rsidR="00480FA7" w:rsidRPr="00A4697B" w:rsidRDefault="00EE5E92" w:rsidP="00480FA7">
      <w:pPr>
        <w:spacing w:after="100" w:afterAutospacing="1" w:line="360" w:lineRule="auto"/>
        <w:jc w:val="both"/>
        <w:rPr>
          <w:rFonts w:asciiTheme="majorBidi" w:hAnsiTheme="majorBidi" w:cstheme="majorBidi"/>
          <w:b/>
          <w:bCs/>
          <w:sz w:val="28"/>
          <w:szCs w:val="28"/>
        </w:rPr>
      </w:pPr>
      <w:r w:rsidRPr="00A4697B">
        <w:rPr>
          <w:rFonts w:asciiTheme="majorBidi" w:hAnsiTheme="majorBidi" w:cstheme="majorBidi"/>
          <w:i/>
          <w:iCs/>
          <w:sz w:val="28"/>
          <w:szCs w:val="28"/>
        </w:rPr>
        <w:t>H</w:t>
      </w:r>
      <w:r w:rsidRPr="00A4697B">
        <w:rPr>
          <w:rFonts w:asciiTheme="majorBidi" w:hAnsiTheme="majorBidi" w:cstheme="majorBidi"/>
          <w:i/>
          <w:iCs/>
          <w:sz w:val="28"/>
          <w:szCs w:val="28"/>
          <w:vertAlign w:val="superscript"/>
        </w:rPr>
        <w:t>2</w:t>
      </w:r>
      <w:r w:rsidRPr="00A4697B">
        <w:rPr>
          <w:rFonts w:asciiTheme="majorBidi" w:hAnsiTheme="majorBidi" w:cstheme="majorBidi"/>
          <w:sz w:val="28"/>
          <w:szCs w:val="28"/>
        </w:rPr>
        <w:t xml:space="preserve"> = </w:t>
      </w:r>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G</m:t>
                </m:r>
              </m:sub>
            </m:sSub>
          </m:num>
          <m:den>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P</m:t>
                </m:r>
              </m:sub>
            </m:sSub>
          </m:den>
        </m:f>
      </m:oMath>
      <w:r w:rsidR="00480FA7" w:rsidRPr="00A4697B">
        <w:rPr>
          <w:rFonts w:asciiTheme="majorBidi" w:hAnsiTheme="majorBidi" w:cstheme="majorBidi"/>
          <w:b/>
          <w:bCs/>
          <w:sz w:val="28"/>
          <w:szCs w:val="28"/>
        </w:rPr>
        <w:t> </w:t>
      </w:r>
    </w:p>
    <w:p w:rsidR="008F38B6" w:rsidRDefault="002560D2" w:rsidP="00480FA7">
      <w:pPr>
        <w:spacing w:after="100" w:afterAutospacing="1" w:line="360" w:lineRule="auto"/>
        <w:jc w:val="both"/>
        <w:rPr>
          <w:rFonts w:asciiTheme="majorBidi" w:hAnsiTheme="majorBidi" w:cstheme="majorBidi"/>
          <w:sz w:val="28"/>
          <w:szCs w:val="28"/>
        </w:rPr>
      </w:pPr>
      <w:r w:rsidRPr="002560D2">
        <w:rPr>
          <w:rFonts w:asciiTheme="majorBidi" w:hAnsiTheme="majorBidi" w:cstheme="majorBidi"/>
          <w:sz w:val="28"/>
          <w:szCs w:val="28"/>
        </w:rPr>
        <w:t xml:space="preserve">Ces valeurs de l’héritabilité pour un caractère dans une </w:t>
      </w:r>
      <w:proofErr w:type="spellStart"/>
      <w:proofErr w:type="gramStart"/>
      <w:r w:rsidRPr="002560D2">
        <w:rPr>
          <w:rFonts w:asciiTheme="majorBidi" w:hAnsiTheme="majorBidi" w:cstheme="majorBidi"/>
          <w:sz w:val="28"/>
          <w:szCs w:val="28"/>
        </w:rPr>
        <w:t>population</w:t>
      </w:r>
      <w:r w:rsidR="00EF107A">
        <w:rPr>
          <w:rFonts w:asciiTheme="majorBidi" w:hAnsiTheme="majorBidi" w:cstheme="majorBidi"/>
          <w:sz w:val="28"/>
          <w:szCs w:val="28"/>
        </w:rPr>
        <w:t>s’échelonnent</w:t>
      </w:r>
      <w:proofErr w:type="spellEnd"/>
      <w:proofErr w:type="gramEnd"/>
      <w:r w:rsidR="00EF107A">
        <w:rPr>
          <w:rFonts w:asciiTheme="majorBidi" w:hAnsiTheme="majorBidi" w:cstheme="majorBidi"/>
          <w:sz w:val="28"/>
          <w:szCs w:val="28"/>
        </w:rPr>
        <w:t xml:space="preserve"> entre 0 et 1. Les valeurs proches de l’indiquent que les conditions environnements </w:t>
      </w:r>
      <w:r w:rsidR="009F00B5">
        <w:rPr>
          <w:rFonts w:asciiTheme="majorBidi" w:hAnsiTheme="majorBidi" w:cstheme="majorBidi"/>
          <w:sz w:val="28"/>
          <w:szCs w:val="28"/>
        </w:rPr>
        <w:t>on</w:t>
      </w:r>
      <w:r w:rsidR="00EF107A">
        <w:rPr>
          <w:rFonts w:asciiTheme="majorBidi" w:hAnsiTheme="majorBidi" w:cstheme="majorBidi"/>
          <w:sz w:val="28"/>
          <w:szCs w:val="28"/>
        </w:rPr>
        <w:t xml:space="preserve"> peut d’effet sur</w:t>
      </w:r>
      <w:r w:rsidR="00DD347E">
        <w:rPr>
          <w:rFonts w:asciiTheme="majorBidi" w:hAnsiTheme="majorBidi" w:cstheme="majorBidi"/>
          <w:sz w:val="28"/>
          <w:szCs w:val="28"/>
        </w:rPr>
        <w:t xml:space="preserve"> la variance phénotypique qui est alors très largement due aux différences génotypiques</w:t>
      </w:r>
      <w:r w:rsidR="008F38B6">
        <w:rPr>
          <w:rFonts w:asciiTheme="majorBidi" w:hAnsiTheme="majorBidi" w:cstheme="majorBidi"/>
          <w:sz w:val="28"/>
          <w:szCs w:val="28"/>
        </w:rPr>
        <w:t xml:space="preserve"> entre individus au sein de la population. Les valeurs </w:t>
      </w:r>
      <w:r w:rsidR="009F00B5">
        <w:rPr>
          <w:rFonts w:asciiTheme="majorBidi" w:hAnsiTheme="majorBidi" w:cstheme="majorBidi"/>
          <w:sz w:val="28"/>
          <w:szCs w:val="28"/>
        </w:rPr>
        <w:t>faibles</w:t>
      </w:r>
      <w:r w:rsidR="008F38B6">
        <w:rPr>
          <w:rFonts w:asciiTheme="majorBidi" w:hAnsiTheme="majorBidi" w:cstheme="majorBidi"/>
          <w:sz w:val="28"/>
          <w:szCs w:val="28"/>
        </w:rPr>
        <w:t xml:space="preserve"> ou proches des 0 indiquent que des facteurs environnementaux et non génétiques sont principalement responsables des différences phénotypiques observées au sein de la population étudiée. Peu de </w:t>
      </w:r>
      <w:r w:rsidR="009F00B5">
        <w:rPr>
          <w:rFonts w:asciiTheme="majorBidi" w:hAnsiTheme="majorBidi" w:cstheme="majorBidi"/>
          <w:sz w:val="28"/>
          <w:szCs w:val="28"/>
        </w:rPr>
        <w:t>caractères</w:t>
      </w:r>
      <w:r w:rsidR="008F38B6">
        <w:rPr>
          <w:rFonts w:asciiTheme="majorBidi" w:hAnsiTheme="majorBidi" w:cstheme="majorBidi"/>
          <w:sz w:val="28"/>
          <w:szCs w:val="28"/>
        </w:rPr>
        <w:t xml:space="preserve"> quantitatifs ont en fait des valeurs très fortes ou très faibles suggérant que l’environnement et les génotypes contribuent tous les deux à l’expression de la majorité des phénotypes.</w:t>
      </w:r>
    </w:p>
    <w:p w:rsidR="00B405FE" w:rsidRDefault="008F38B6" w:rsidP="00480FA7">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 xml:space="preserve">La composante de variance génétique </w:t>
      </w:r>
      <w:r>
        <w:rPr>
          <w:rFonts w:asciiTheme="majorBidi" w:hAnsiTheme="majorBidi" w:cstheme="majorBidi"/>
          <w:i/>
          <w:iCs/>
          <w:sz w:val="28"/>
          <w:szCs w:val="28"/>
        </w:rPr>
        <w:t>V</w:t>
      </w:r>
      <w:r>
        <w:rPr>
          <w:rFonts w:asciiTheme="majorBidi" w:hAnsiTheme="majorBidi" w:cstheme="majorBidi"/>
          <w:sz w:val="28"/>
          <w:szCs w:val="28"/>
          <w:vertAlign w:val="subscript"/>
        </w:rPr>
        <w:t>G</w:t>
      </w:r>
      <w:r>
        <w:rPr>
          <w:rFonts w:asciiTheme="majorBidi" w:hAnsiTheme="majorBidi" w:cstheme="majorBidi"/>
          <w:sz w:val="28"/>
          <w:szCs w:val="28"/>
        </w:rPr>
        <w:t xml:space="preserve"> utilisée pour mesure l’héritabilité au sens large inclut tous les types de variation génétique dans la population : il n’y a pas </w:t>
      </w:r>
      <w:r w:rsidR="00030F83">
        <w:rPr>
          <w:rFonts w:asciiTheme="majorBidi" w:hAnsiTheme="majorBidi" w:cstheme="majorBidi"/>
          <w:sz w:val="28"/>
          <w:szCs w:val="28"/>
        </w:rPr>
        <w:t>de distinction entre les caractères quantitatifs polygéniques déterminés par des allèles à effets additifs, dominant ou épistatiques. L’estimation de l’héritabilité au sens</w:t>
      </w:r>
      <w:r w:rsidR="00972BD6">
        <w:rPr>
          <w:rFonts w:asciiTheme="majorBidi" w:hAnsiTheme="majorBidi" w:cstheme="majorBidi"/>
          <w:sz w:val="28"/>
          <w:szCs w:val="28"/>
        </w:rPr>
        <w:t xml:space="preserve"> large considère également que la variance génotype-environnement est négligeable. De ce fait, l’héritabilité au sens large d’un caractère est surtout intéressante du </w:t>
      </w:r>
      <w:r w:rsidR="009F00B5">
        <w:rPr>
          <w:rFonts w:asciiTheme="majorBidi" w:hAnsiTheme="majorBidi" w:cstheme="majorBidi"/>
          <w:sz w:val="28"/>
          <w:szCs w:val="28"/>
        </w:rPr>
        <w:t>point</w:t>
      </w:r>
      <w:r w:rsidR="00972BD6">
        <w:rPr>
          <w:rFonts w:asciiTheme="majorBidi" w:hAnsiTheme="majorBidi" w:cstheme="majorBidi"/>
          <w:sz w:val="28"/>
          <w:szCs w:val="28"/>
        </w:rPr>
        <w:t xml:space="preserve"> de vue </w:t>
      </w:r>
      <w:r w:rsidR="003C214D">
        <w:rPr>
          <w:rFonts w:asciiTheme="majorBidi" w:hAnsiTheme="majorBidi" w:cstheme="majorBidi"/>
          <w:sz w:val="28"/>
          <w:szCs w:val="28"/>
        </w:rPr>
        <w:t>général</w:t>
      </w:r>
      <w:r w:rsidR="00972BD6">
        <w:rPr>
          <w:rFonts w:asciiTheme="majorBidi" w:hAnsiTheme="majorBidi" w:cstheme="majorBidi"/>
          <w:sz w:val="28"/>
          <w:szCs w:val="28"/>
        </w:rPr>
        <w:t xml:space="preserve">, mais les différentes limitées énoncées font que cette mesure de l’héritabilité est peu utilisée dans les programmes de </w:t>
      </w:r>
      <w:r w:rsidR="0078435B">
        <w:rPr>
          <w:rFonts w:asciiTheme="majorBidi" w:hAnsiTheme="majorBidi" w:cstheme="majorBidi"/>
          <w:sz w:val="28"/>
          <w:szCs w:val="28"/>
        </w:rPr>
        <w:t xml:space="preserve">croisement. Les sélectionneurs d’animaux ou de plantes, qui veulent améliorer </w:t>
      </w:r>
      <w:r w:rsidR="00D2719D">
        <w:rPr>
          <w:rFonts w:asciiTheme="majorBidi" w:hAnsiTheme="majorBidi" w:cstheme="majorBidi"/>
          <w:sz w:val="28"/>
          <w:szCs w:val="28"/>
        </w:rPr>
        <w:t xml:space="preserve">des caractères spécifiques chez des animaux ou </w:t>
      </w:r>
      <w:r w:rsidR="00D2719D">
        <w:rPr>
          <w:rFonts w:asciiTheme="majorBidi" w:hAnsiTheme="majorBidi" w:cstheme="majorBidi"/>
          <w:sz w:val="28"/>
          <w:szCs w:val="28"/>
        </w:rPr>
        <w:lastRenderedPageBreak/>
        <w:t xml:space="preserve">augmenter le rendement de certaines plantes cultivées, ont besoin d’une estimation plus précise de l’héritabilité </w:t>
      </w:r>
      <w:r w:rsidR="00B405FE">
        <w:rPr>
          <w:rFonts w:asciiTheme="majorBidi" w:hAnsiTheme="majorBidi" w:cstheme="majorBidi"/>
          <w:sz w:val="28"/>
          <w:szCs w:val="28"/>
        </w:rPr>
        <w:t>des caractères qu’ils souhaitent manipuler au sein d’une population. Un autre estimateur, l’héritabilité au sens étroit, a donc été élaboré.</w:t>
      </w:r>
    </w:p>
    <w:p w:rsidR="0069101F" w:rsidRDefault="0069101F" w:rsidP="00480FA7">
      <w:pPr>
        <w:spacing w:after="100" w:afterAutospacing="1" w:line="360" w:lineRule="auto"/>
        <w:jc w:val="both"/>
        <w:rPr>
          <w:rFonts w:asciiTheme="majorBidi" w:hAnsiTheme="majorBidi" w:cstheme="majorBidi"/>
          <w:b/>
          <w:bCs/>
          <w:sz w:val="28"/>
          <w:szCs w:val="28"/>
        </w:rPr>
      </w:pPr>
      <w:r w:rsidRPr="0069101F">
        <w:rPr>
          <w:rFonts w:asciiTheme="majorBidi" w:hAnsiTheme="majorBidi" w:cstheme="majorBidi"/>
          <w:b/>
          <w:bCs/>
          <w:sz w:val="28"/>
          <w:szCs w:val="28"/>
        </w:rPr>
        <w:t>L’héritabilité eu sens étroit :</w:t>
      </w:r>
    </w:p>
    <w:p w:rsidR="00C026E3" w:rsidRDefault="00647D89" w:rsidP="00C026E3">
      <w:pPr>
        <w:spacing w:after="100" w:afterAutospacing="1" w:line="360" w:lineRule="auto"/>
        <w:jc w:val="both"/>
        <w:rPr>
          <w:rFonts w:asciiTheme="majorBidi" w:hAnsiTheme="majorBidi" w:cstheme="majorBidi"/>
          <w:sz w:val="28"/>
          <w:szCs w:val="28"/>
        </w:rPr>
      </w:pPr>
      <w:r w:rsidRPr="0069101F">
        <w:rPr>
          <w:rFonts w:asciiTheme="majorBidi" w:hAnsiTheme="majorBidi" w:cstheme="majorBidi"/>
          <w:b/>
          <w:bCs/>
          <w:sz w:val="28"/>
          <w:szCs w:val="28"/>
        </w:rPr>
        <w:t>L’héritabilité eu sens étroit </w:t>
      </w:r>
      <w:r>
        <w:rPr>
          <w:rFonts w:asciiTheme="majorBidi" w:hAnsiTheme="majorBidi" w:cstheme="majorBidi"/>
          <w:sz w:val="28"/>
          <w:szCs w:val="28"/>
        </w:rPr>
        <w:t>(</w:t>
      </w:r>
      <w:r w:rsidRPr="00647D89">
        <w:rPr>
          <w:rFonts w:asciiTheme="majorBidi" w:hAnsiTheme="majorBidi" w:cstheme="majorBidi"/>
          <w:b/>
          <w:bCs/>
          <w:i/>
          <w:iCs/>
          <w:sz w:val="28"/>
          <w:szCs w:val="28"/>
        </w:rPr>
        <w:t>h</w:t>
      </w:r>
      <w:r w:rsidRPr="00647D89">
        <w:rPr>
          <w:rFonts w:asciiTheme="majorBidi" w:hAnsiTheme="majorBidi" w:cstheme="majorBidi"/>
          <w:b/>
          <w:bCs/>
          <w:i/>
          <w:iCs/>
          <w:sz w:val="28"/>
          <w:szCs w:val="28"/>
          <w:vertAlign w:val="superscript"/>
        </w:rPr>
        <w:t>2</w:t>
      </w:r>
      <w:r>
        <w:rPr>
          <w:rFonts w:asciiTheme="majorBidi" w:hAnsiTheme="majorBidi" w:cstheme="majorBidi"/>
          <w:sz w:val="28"/>
          <w:szCs w:val="28"/>
        </w:rPr>
        <w:t xml:space="preserve">) </w:t>
      </w:r>
      <w:r w:rsidR="002216C6">
        <w:rPr>
          <w:rFonts w:asciiTheme="majorBidi" w:hAnsiTheme="majorBidi" w:cstheme="majorBidi"/>
          <w:sz w:val="28"/>
          <w:szCs w:val="28"/>
        </w:rPr>
        <w:t xml:space="preserve">est la proportion de la variance phénotypiques due aux seuls additifs de la variance génotypique. La variance génotypique peut être décomposée en composantes reflétant les différents modes d’action des allèles de </w:t>
      </w:r>
      <w:r w:rsidR="006C20BB">
        <w:rPr>
          <w:rFonts w:asciiTheme="majorBidi" w:hAnsiTheme="majorBidi" w:cstheme="majorBidi"/>
          <w:sz w:val="28"/>
          <w:szCs w:val="28"/>
        </w:rPr>
        <w:t xml:space="preserve">plusieurs </w:t>
      </w:r>
      <w:proofErr w:type="spellStart"/>
      <w:r w:rsidR="006C20BB">
        <w:rPr>
          <w:rFonts w:asciiTheme="majorBidi" w:hAnsiTheme="majorBidi" w:cstheme="majorBidi"/>
          <w:sz w:val="28"/>
          <w:szCs w:val="28"/>
        </w:rPr>
        <w:t>loci</w:t>
      </w:r>
      <w:proofErr w:type="spellEnd"/>
      <w:r w:rsidR="006C20BB">
        <w:rPr>
          <w:rFonts w:asciiTheme="majorBidi" w:hAnsiTheme="majorBidi" w:cstheme="majorBidi"/>
          <w:sz w:val="28"/>
          <w:szCs w:val="28"/>
        </w:rPr>
        <w:t xml:space="preserve"> impliqués dans un caractère quantitatif. Comme tous les gènes impliqués dans un caractère quantitatif ne modifient pas le </w:t>
      </w:r>
      <w:r w:rsidR="000D77CE">
        <w:rPr>
          <w:rFonts w:asciiTheme="majorBidi" w:hAnsiTheme="majorBidi" w:cstheme="majorBidi"/>
          <w:sz w:val="28"/>
          <w:szCs w:val="28"/>
        </w:rPr>
        <w:t xml:space="preserve">phénotype de la même manière, cette réparation permet de distinguer trois modes d’action </w:t>
      </w:r>
      <w:r w:rsidR="007738D5">
        <w:rPr>
          <w:rFonts w:asciiTheme="majorBidi" w:hAnsiTheme="majorBidi" w:cstheme="majorBidi"/>
          <w:sz w:val="28"/>
          <w:szCs w:val="28"/>
        </w:rPr>
        <w:t xml:space="preserve">génétique différents. La </w:t>
      </w:r>
      <w:proofErr w:type="spellStart"/>
      <w:r w:rsidR="007738D5" w:rsidRPr="007738D5">
        <w:rPr>
          <w:rFonts w:asciiTheme="majorBidi" w:hAnsiTheme="majorBidi" w:cstheme="majorBidi"/>
          <w:b/>
          <w:bCs/>
          <w:sz w:val="28"/>
          <w:szCs w:val="28"/>
        </w:rPr>
        <w:t>varianceadditive</w:t>
      </w:r>
      <w:proofErr w:type="spellEnd"/>
      <w:r w:rsidR="007738D5">
        <w:rPr>
          <w:rFonts w:asciiTheme="majorBidi" w:hAnsiTheme="majorBidi" w:cstheme="majorBidi"/>
          <w:sz w:val="28"/>
          <w:szCs w:val="28"/>
        </w:rPr>
        <w:t xml:space="preserve">, </w:t>
      </w:r>
      <w:r w:rsidR="007738D5">
        <w:rPr>
          <w:rFonts w:asciiTheme="majorBidi" w:hAnsiTheme="majorBidi" w:cstheme="majorBidi"/>
          <w:i/>
          <w:iCs/>
          <w:sz w:val="28"/>
          <w:szCs w:val="28"/>
        </w:rPr>
        <w:t>V</w:t>
      </w:r>
      <w:r w:rsidR="007738D5">
        <w:rPr>
          <w:rFonts w:asciiTheme="majorBidi" w:hAnsiTheme="majorBidi" w:cstheme="majorBidi"/>
          <w:sz w:val="28"/>
          <w:szCs w:val="28"/>
          <w:vertAlign w:val="subscript"/>
        </w:rPr>
        <w:t>A</w:t>
      </w:r>
      <w:r w:rsidR="00C026E3">
        <w:rPr>
          <w:rFonts w:asciiTheme="majorBidi" w:hAnsiTheme="majorBidi" w:cstheme="majorBidi"/>
          <w:sz w:val="28"/>
          <w:szCs w:val="28"/>
        </w:rPr>
        <w:t xml:space="preserve">, est la variance génotypique liée à l’action additive des allèles aux </w:t>
      </w:r>
      <w:proofErr w:type="spellStart"/>
      <w:r w:rsidR="00C026E3">
        <w:rPr>
          <w:rFonts w:asciiTheme="majorBidi" w:hAnsiTheme="majorBidi" w:cstheme="majorBidi"/>
          <w:sz w:val="28"/>
          <w:szCs w:val="28"/>
        </w:rPr>
        <w:t>loci</w:t>
      </w:r>
      <w:proofErr w:type="spellEnd"/>
      <w:r w:rsidR="00C026E3">
        <w:rPr>
          <w:rFonts w:asciiTheme="majorBidi" w:hAnsiTheme="majorBidi" w:cstheme="majorBidi"/>
          <w:sz w:val="28"/>
          <w:szCs w:val="28"/>
        </w:rPr>
        <w:t xml:space="preserve"> quantitatifs. La </w:t>
      </w:r>
      <w:proofErr w:type="spellStart"/>
      <w:r w:rsidR="00C026E3" w:rsidRPr="00C026E3">
        <w:rPr>
          <w:rFonts w:asciiTheme="majorBidi" w:hAnsiTheme="majorBidi" w:cstheme="majorBidi"/>
          <w:b/>
          <w:bCs/>
          <w:sz w:val="28"/>
          <w:szCs w:val="28"/>
        </w:rPr>
        <w:t>variancededominance</w:t>
      </w:r>
      <w:proofErr w:type="spellEnd"/>
      <w:r w:rsidR="00C026E3">
        <w:rPr>
          <w:rFonts w:asciiTheme="majorBidi" w:hAnsiTheme="majorBidi" w:cstheme="majorBidi"/>
          <w:sz w:val="28"/>
          <w:szCs w:val="28"/>
        </w:rPr>
        <w:t xml:space="preserve">, </w:t>
      </w:r>
      <w:r w:rsidR="00C026E3">
        <w:rPr>
          <w:rFonts w:asciiTheme="majorBidi" w:hAnsiTheme="majorBidi" w:cstheme="majorBidi"/>
          <w:i/>
          <w:iCs/>
          <w:sz w:val="28"/>
          <w:szCs w:val="28"/>
        </w:rPr>
        <w:t>V</w:t>
      </w:r>
      <w:r w:rsidR="00C026E3">
        <w:rPr>
          <w:rFonts w:asciiTheme="majorBidi" w:hAnsiTheme="majorBidi" w:cstheme="majorBidi"/>
          <w:sz w:val="28"/>
          <w:szCs w:val="28"/>
          <w:vertAlign w:val="subscript"/>
        </w:rPr>
        <w:t>D</w:t>
      </w:r>
      <w:r w:rsidR="00C026E3">
        <w:rPr>
          <w:rFonts w:asciiTheme="majorBidi" w:hAnsiTheme="majorBidi" w:cstheme="majorBidi"/>
          <w:sz w:val="28"/>
          <w:szCs w:val="28"/>
        </w:rPr>
        <w:t xml:space="preserve">, est l’écart à l’additivité lorsque l’expression du phénotype d’un hétérozygote s’écarte de la stricte somme des effets individuels des allèles des homozygotes de départ. La </w:t>
      </w:r>
      <w:proofErr w:type="spellStart"/>
      <w:r w:rsidR="00C026E3" w:rsidRPr="00C026E3">
        <w:rPr>
          <w:rFonts w:asciiTheme="majorBidi" w:hAnsiTheme="majorBidi" w:cstheme="majorBidi"/>
          <w:b/>
          <w:bCs/>
          <w:sz w:val="28"/>
          <w:szCs w:val="28"/>
        </w:rPr>
        <w:t>varianced’interaction</w:t>
      </w:r>
      <w:proofErr w:type="spellEnd"/>
      <w:r w:rsidR="00C026E3">
        <w:rPr>
          <w:rFonts w:asciiTheme="majorBidi" w:hAnsiTheme="majorBidi" w:cstheme="majorBidi"/>
          <w:sz w:val="28"/>
          <w:szCs w:val="28"/>
        </w:rPr>
        <w:t xml:space="preserve">, </w:t>
      </w:r>
      <w:proofErr w:type="gramStart"/>
      <w:r w:rsidR="00C026E3">
        <w:rPr>
          <w:rFonts w:asciiTheme="majorBidi" w:hAnsiTheme="majorBidi" w:cstheme="majorBidi"/>
          <w:i/>
          <w:iCs/>
          <w:sz w:val="28"/>
          <w:szCs w:val="28"/>
        </w:rPr>
        <w:t>V</w:t>
      </w:r>
      <w:r w:rsidR="00C026E3">
        <w:rPr>
          <w:rFonts w:asciiTheme="majorBidi" w:hAnsiTheme="majorBidi" w:cstheme="majorBidi"/>
          <w:sz w:val="28"/>
          <w:szCs w:val="28"/>
          <w:vertAlign w:val="subscript"/>
        </w:rPr>
        <w:t>I </w:t>
      </w:r>
      <w:r w:rsidR="00C026E3">
        <w:rPr>
          <w:rFonts w:asciiTheme="majorBidi" w:hAnsiTheme="majorBidi" w:cstheme="majorBidi"/>
          <w:sz w:val="28"/>
          <w:szCs w:val="28"/>
        </w:rPr>
        <w:t>,</w:t>
      </w:r>
      <w:proofErr w:type="gramEnd"/>
      <w:r w:rsidR="00C026E3">
        <w:rPr>
          <w:rFonts w:asciiTheme="majorBidi" w:hAnsiTheme="majorBidi" w:cstheme="majorBidi"/>
          <w:sz w:val="28"/>
          <w:szCs w:val="28"/>
        </w:rPr>
        <w:t xml:space="preserve"> est l’écart à l’additivité lorsque deux </w:t>
      </w:r>
      <w:proofErr w:type="spellStart"/>
      <w:r w:rsidR="00C026E3">
        <w:rPr>
          <w:rFonts w:asciiTheme="majorBidi" w:hAnsiTheme="majorBidi" w:cstheme="majorBidi"/>
          <w:sz w:val="28"/>
          <w:szCs w:val="28"/>
        </w:rPr>
        <w:t>loci</w:t>
      </w:r>
      <w:proofErr w:type="spellEnd"/>
      <w:r w:rsidR="00C026E3">
        <w:rPr>
          <w:rFonts w:asciiTheme="majorBidi" w:hAnsiTheme="majorBidi" w:cstheme="majorBidi"/>
          <w:sz w:val="28"/>
          <w:szCs w:val="28"/>
        </w:rPr>
        <w:t xml:space="preserve"> ou plus interagissent en épistasie. Le niveau de la variance d’interaction est souvent négligeable et cette composante peut être exclue des calculs de variance génotypique.</w:t>
      </w:r>
    </w:p>
    <w:p w:rsidR="00A20004" w:rsidRDefault="00A20004" w:rsidP="00C026E3">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 xml:space="preserve">La partition de la variance génotypique </w:t>
      </w:r>
      <w:r>
        <w:rPr>
          <w:rFonts w:asciiTheme="majorBidi" w:hAnsiTheme="majorBidi" w:cstheme="majorBidi"/>
          <w:i/>
          <w:iCs/>
          <w:sz w:val="28"/>
          <w:szCs w:val="28"/>
        </w:rPr>
        <w:t>V</w:t>
      </w:r>
      <w:r>
        <w:rPr>
          <w:rFonts w:asciiTheme="majorBidi" w:hAnsiTheme="majorBidi" w:cstheme="majorBidi"/>
          <w:sz w:val="28"/>
          <w:szCs w:val="28"/>
          <w:vertAlign w:val="subscript"/>
        </w:rPr>
        <w:t>G</w:t>
      </w:r>
      <w:r>
        <w:rPr>
          <w:rFonts w:asciiTheme="majorBidi" w:hAnsiTheme="majorBidi" w:cstheme="majorBidi"/>
          <w:sz w:val="28"/>
          <w:szCs w:val="28"/>
        </w:rPr>
        <w:t xml:space="preserve"> peut être résumée par l’équation suivante :</w:t>
      </w:r>
    </w:p>
    <w:p w:rsidR="00647D89" w:rsidRDefault="00A20004" w:rsidP="00C026E3">
      <w:pPr>
        <w:spacing w:after="100" w:afterAutospacing="1" w:line="360" w:lineRule="auto"/>
        <w:jc w:val="both"/>
        <w:rPr>
          <w:rFonts w:asciiTheme="majorBidi" w:hAnsiTheme="majorBidi" w:cstheme="majorBidi"/>
          <w:sz w:val="28"/>
          <w:szCs w:val="28"/>
        </w:rPr>
      </w:pPr>
      <w:r>
        <w:rPr>
          <w:rFonts w:asciiTheme="majorBidi" w:hAnsiTheme="majorBidi" w:cstheme="majorBidi"/>
          <w:i/>
          <w:iCs/>
          <w:sz w:val="28"/>
          <w:szCs w:val="28"/>
        </w:rPr>
        <w:t>V</w:t>
      </w:r>
      <w:r>
        <w:rPr>
          <w:rFonts w:asciiTheme="majorBidi" w:hAnsiTheme="majorBidi" w:cstheme="majorBidi"/>
          <w:sz w:val="28"/>
          <w:szCs w:val="28"/>
          <w:vertAlign w:val="subscript"/>
        </w:rPr>
        <w:t>G</w:t>
      </w:r>
      <w:r>
        <w:rPr>
          <w:rFonts w:asciiTheme="majorBidi" w:hAnsiTheme="majorBidi" w:cstheme="majorBidi"/>
          <w:i/>
          <w:iCs/>
          <w:sz w:val="28"/>
          <w:szCs w:val="28"/>
        </w:rPr>
        <w:t xml:space="preserve"> = V</w:t>
      </w:r>
      <w:r>
        <w:rPr>
          <w:rFonts w:asciiTheme="majorBidi" w:hAnsiTheme="majorBidi" w:cstheme="majorBidi"/>
          <w:sz w:val="28"/>
          <w:szCs w:val="28"/>
          <w:vertAlign w:val="subscript"/>
        </w:rPr>
        <w:t>A</w:t>
      </w:r>
      <w:r>
        <w:rPr>
          <w:rFonts w:asciiTheme="majorBidi" w:hAnsiTheme="majorBidi" w:cstheme="majorBidi"/>
          <w:i/>
          <w:iCs/>
          <w:sz w:val="28"/>
          <w:szCs w:val="28"/>
        </w:rPr>
        <w:t xml:space="preserve"> +V</w:t>
      </w:r>
      <w:r>
        <w:rPr>
          <w:rFonts w:asciiTheme="majorBidi" w:hAnsiTheme="majorBidi" w:cstheme="majorBidi"/>
          <w:sz w:val="28"/>
          <w:szCs w:val="28"/>
          <w:vertAlign w:val="subscript"/>
        </w:rPr>
        <w:t>D</w:t>
      </w:r>
      <w:r>
        <w:rPr>
          <w:rFonts w:asciiTheme="majorBidi" w:hAnsiTheme="majorBidi" w:cstheme="majorBidi"/>
          <w:i/>
          <w:iCs/>
          <w:sz w:val="28"/>
          <w:szCs w:val="28"/>
        </w:rPr>
        <w:t>+V</w:t>
      </w:r>
      <w:r>
        <w:rPr>
          <w:rFonts w:asciiTheme="majorBidi" w:hAnsiTheme="majorBidi" w:cstheme="majorBidi"/>
          <w:sz w:val="28"/>
          <w:szCs w:val="28"/>
          <w:vertAlign w:val="subscript"/>
        </w:rPr>
        <w:t>I</w:t>
      </w:r>
    </w:p>
    <w:p w:rsidR="00A20004" w:rsidRDefault="00A20004" w:rsidP="00C026E3">
      <w:pPr>
        <w:spacing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Et l’héritabilité au sens étroit, estimée uniquement sur la portion de variance génotypique due aux effets additifs, devient :</w:t>
      </w:r>
    </w:p>
    <w:p w:rsidR="00A20004" w:rsidRDefault="00A20004" w:rsidP="00C026E3">
      <w:pPr>
        <w:spacing w:after="100" w:afterAutospacing="1" w:line="360" w:lineRule="auto"/>
        <w:jc w:val="both"/>
        <w:rPr>
          <w:rFonts w:asciiTheme="majorBidi" w:hAnsiTheme="majorBidi" w:cstheme="majorBidi"/>
          <w:i/>
          <w:iCs/>
          <w:sz w:val="32"/>
          <w:szCs w:val="32"/>
        </w:rPr>
      </w:pPr>
      <w:r w:rsidRPr="00A20004">
        <w:rPr>
          <w:rFonts w:asciiTheme="majorBidi" w:hAnsiTheme="majorBidi" w:cstheme="majorBidi"/>
          <w:i/>
          <w:iCs/>
          <w:sz w:val="32"/>
          <w:szCs w:val="32"/>
        </w:rPr>
        <w:t>h</w:t>
      </w:r>
      <w:r w:rsidRPr="00A20004">
        <w:rPr>
          <w:rFonts w:asciiTheme="majorBidi" w:hAnsiTheme="majorBidi" w:cstheme="majorBidi"/>
          <w:i/>
          <w:iCs/>
          <w:sz w:val="32"/>
          <w:szCs w:val="32"/>
          <w:vertAlign w:val="superscript"/>
        </w:rPr>
        <w:t>2</w:t>
      </w:r>
      <w:r w:rsidRPr="00A20004">
        <w:rPr>
          <w:rFonts w:asciiTheme="majorBidi" w:hAnsiTheme="majorBidi" w:cstheme="majorBidi"/>
          <w:i/>
          <w:iCs/>
          <w:sz w:val="32"/>
          <w:szCs w:val="32"/>
        </w:rPr>
        <w:t xml:space="preserve">= </w:t>
      </w:r>
      <m:oMath>
        <m:f>
          <m:fPr>
            <m:ctrlPr>
              <w:rPr>
                <w:rFonts w:ascii="Cambria Math" w:hAnsi="Cambria Math" w:cstheme="majorBidi"/>
                <w:i/>
                <w:iCs/>
                <w:sz w:val="32"/>
                <w:szCs w:val="32"/>
              </w:rPr>
            </m:ctrlPr>
          </m:fPr>
          <m:num>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A</m:t>
                </m:r>
              </m:sub>
            </m:sSub>
          </m:num>
          <m:den>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P</m:t>
                </m:r>
              </m:sub>
            </m:sSub>
          </m:den>
        </m:f>
      </m:oMath>
    </w:p>
    <w:p w:rsidR="00FD342D" w:rsidRDefault="00A20004" w:rsidP="00C026E3">
      <w:pPr>
        <w:spacing w:after="100" w:afterAutospacing="1" w:line="360" w:lineRule="auto"/>
        <w:jc w:val="both"/>
        <w:rPr>
          <w:rFonts w:asciiTheme="majorBidi" w:hAnsiTheme="majorBidi" w:cstheme="majorBidi"/>
          <w:sz w:val="28"/>
          <w:szCs w:val="28"/>
        </w:rPr>
      </w:pPr>
      <w:r w:rsidRPr="00A20004">
        <w:rPr>
          <w:rFonts w:asciiTheme="majorBidi" w:hAnsiTheme="majorBidi" w:cstheme="majorBidi"/>
          <w:i/>
          <w:iCs/>
          <w:sz w:val="28"/>
          <w:szCs w:val="28"/>
        </w:rPr>
        <w:t xml:space="preserve"> </w:t>
      </w:r>
      <w:proofErr w:type="gramStart"/>
      <w:r w:rsidRPr="00A20004">
        <w:rPr>
          <w:rFonts w:asciiTheme="majorBidi" w:hAnsiTheme="majorBidi" w:cstheme="majorBidi"/>
          <w:i/>
          <w:iCs/>
          <w:sz w:val="28"/>
          <w:szCs w:val="28"/>
        </w:rPr>
        <w:t>en</w:t>
      </w:r>
      <w:proofErr w:type="gramEnd"/>
      <w:r w:rsidRPr="00A20004">
        <w:rPr>
          <w:rFonts w:asciiTheme="majorBidi" w:hAnsiTheme="majorBidi" w:cstheme="majorBidi"/>
          <w:i/>
          <w:iCs/>
          <w:sz w:val="28"/>
          <w:szCs w:val="28"/>
        </w:rPr>
        <w:t xml:space="preserve"> omettant V</w:t>
      </w:r>
      <w:r w:rsidRPr="00A20004">
        <w:rPr>
          <w:rFonts w:asciiTheme="majorBidi" w:hAnsiTheme="majorBidi" w:cstheme="majorBidi"/>
          <w:sz w:val="28"/>
          <w:szCs w:val="28"/>
          <w:vertAlign w:val="subscript"/>
        </w:rPr>
        <w:t>I</w:t>
      </w:r>
      <w:r w:rsidRPr="00A20004">
        <w:rPr>
          <w:rFonts w:asciiTheme="majorBidi" w:hAnsiTheme="majorBidi" w:cstheme="majorBidi"/>
          <w:sz w:val="28"/>
          <w:szCs w:val="28"/>
        </w:rPr>
        <w:t xml:space="preserve"> et en séparent </w:t>
      </w:r>
      <w:r w:rsidRPr="00A20004">
        <w:rPr>
          <w:rFonts w:asciiTheme="majorBidi" w:hAnsiTheme="majorBidi" w:cstheme="majorBidi"/>
          <w:i/>
          <w:iCs/>
          <w:sz w:val="28"/>
          <w:szCs w:val="28"/>
        </w:rPr>
        <w:t>V</w:t>
      </w:r>
      <w:r w:rsidRPr="00A20004">
        <w:rPr>
          <w:rFonts w:asciiTheme="majorBidi" w:hAnsiTheme="majorBidi" w:cstheme="majorBidi"/>
          <w:sz w:val="28"/>
          <w:szCs w:val="28"/>
          <w:vertAlign w:val="subscript"/>
        </w:rPr>
        <w:t>P</w:t>
      </w:r>
      <w:r w:rsidRPr="00A20004">
        <w:rPr>
          <w:rFonts w:asciiTheme="majorBidi" w:hAnsiTheme="majorBidi" w:cstheme="majorBidi"/>
          <w:sz w:val="28"/>
          <w:szCs w:val="28"/>
        </w:rPr>
        <w:t xml:space="preserve"> entre ses composantes de</w:t>
      </w:r>
      <w:r w:rsidR="00FD342D">
        <w:rPr>
          <w:rFonts w:asciiTheme="majorBidi" w:hAnsiTheme="majorBidi" w:cstheme="majorBidi"/>
          <w:sz w:val="28"/>
          <w:szCs w:val="28"/>
        </w:rPr>
        <w:t xml:space="preserve"> variance génotypique et environnementale, nous obtenons pour </w:t>
      </w:r>
      <w:r w:rsidR="00FD342D">
        <w:rPr>
          <w:rFonts w:asciiTheme="majorBidi" w:hAnsiTheme="majorBidi" w:cstheme="majorBidi"/>
          <w:i/>
          <w:iCs/>
          <w:sz w:val="28"/>
          <w:szCs w:val="28"/>
        </w:rPr>
        <w:t>h</w:t>
      </w:r>
      <w:r w:rsidR="00FD342D">
        <w:rPr>
          <w:rFonts w:asciiTheme="majorBidi" w:hAnsiTheme="majorBidi" w:cstheme="majorBidi"/>
          <w:i/>
          <w:iCs/>
          <w:sz w:val="28"/>
          <w:szCs w:val="28"/>
          <w:vertAlign w:val="superscript"/>
        </w:rPr>
        <w:t>2</w:t>
      </w:r>
      <w:r w:rsidR="00FD342D">
        <w:rPr>
          <w:rFonts w:asciiTheme="majorBidi" w:hAnsiTheme="majorBidi" w:cstheme="majorBidi"/>
          <w:sz w:val="28"/>
          <w:szCs w:val="28"/>
        </w:rPr>
        <w:t xml:space="preserve"> la formule suivante :</w:t>
      </w:r>
    </w:p>
    <w:p w:rsidR="005A443E" w:rsidRPr="009E56C1" w:rsidRDefault="00441D92" w:rsidP="000024A9">
      <w:pPr>
        <w:spacing w:after="100" w:afterAutospacing="1" w:line="360" w:lineRule="auto"/>
        <w:jc w:val="both"/>
        <w:rPr>
          <w:rFonts w:asciiTheme="majorBidi" w:hAnsiTheme="majorBidi" w:cstheme="majorBidi"/>
          <w:sz w:val="32"/>
          <w:szCs w:val="32"/>
        </w:rPr>
      </w:pPr>
      <w:r w:rsidRPr="009E56C1">
        <w:rPr>
          <w:rFonts w:asciiTheme="majorBidi" w:hAnsiTheme="majorBidi" w:cstheme="majorBidi"/>
          <w:i/>
          <w:iCs/>
          <w:sz w:val="32"/>
          <w:szCs w:val="32"/>
        </w:rPr>
        <w:lastRenderedPageBreak/>
        <w:t>h</w:t>
      </w:r>
      <w:r w:rsidRPr="009E56C1">
        <w:rPr>
          <w:rFonts w:asciiTheme="majorBidi" w:hAnsiTheme="majorBidi" w:cstheme="majorBidi"/>
          <w:i/>
          <w:iCs/>
          <w:sz w:val="32"/>
          <w:szCs w:val="32"/>
          <w:vertAlign w:val="superscript"/>
        </w:rPr>
        <w:t>2</w:t>
      </w:r>
      <w:r w:rsidRPr="009E56C1">
        <w:rPr>
          <w:rFonts w:asciiTheme="majorBidi" w:hAnsiTheme="majorBidi" w:cstheme="majorBidi"/>
          <w:i/>
          <w:iCs/>
          <w:sz w:val="32"/>
          <w:szCs w:val="32"/>
        </w:rPr>
        <w:t xml:space="preserve">= </w:t>
      </w:r>
      <m:oMath>
        <m:f>
          <m:fPr>
            <m:ctrlPr>
              <w:rPr>
                <w:rFonts w:ascii="Cambria Math" w:hAnsi="Cambria Math" w:cstheme="majorBidi"/>
                <w:i/>
                <w:iCs/>
                <w:sz w:val="32"/>
                <w:szCs w:val="32"/>
              </w:rPr>
            </m:ctrlPr>
          </m:fPr>
          <m:num>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A</m:t>
                </m:r>
              </m:sub>
            </m:sSub>
          </m:num>
          <m:den>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E</m:t>
                </m:r>
              </m:sub>
            </m:sSub>
            <m:r>
              <w:rPr>
                <w:rFonts w:ascii="Cambria Math" w:hAnsi="Cambria Math" w:cstheme="majorBidi"/>
                <w:sz w:val="32"/>
                <w:szCs w:val="32"/>
              </w:rPr>
              <m:t>+</m:t>
            </m:r>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A</m:t>
                </m:r>
              </m:sub>
            </m:sSub>
            <m:r>
              <w:rPr>
                <w:rFonts w:ascii="Cambria Math" w:hAnsi="Cambria Math" w:cstheme="majorBidi"/>
                <w:sz w:val="32"/>
                <w:szCs w:val="32"/>
              </w:rPr>
              <m:t>+</m:t>
            </m:r>
            <m:sSub>
              <m:sSubPr>
                <m:ctrlPr>
                  <w:rPr>
                    <w:rFonts w:ascii="Cambria Math" w:hAnsi="Cambria Math" w:cstheme="majorBidi"/>
                    <w:i/>
                    <w:iCs/>
                    <w:sz w:val="32"/>
                    <w:szCs w:val="32"/>
                  </w:rPr>
                </m:ctrlPr>
              </m:sSubPr>
              <m:e>
                <m:r>
                  <w:rPr>
                    <w:rFonts w:ascii="Cambria Math" w:hAnsi="Cambria Math" w:cstheme="majorBidi"/>
                    <w:sz w:val="32"/>
                    <w:szCs w:val="32"/>
                  </w:rPr>
                  <m:t>V</m:t>
                </m:r>
              </m:e>
              <m:sub>
                <m:r>
                  <w:rPr>
                    <w:rFonts w:ascii="Cambria Math" w:hAnsi="Cambria Math" w:cstheme="majorBidi"/>
                    <w:sz w:val="32"/>
                    <w:szCs w:val="32"/>
                  </w:rPr>
                  <m:t>D</m:t>
                </m:r>
              </m:sub>
            </m:sSub>
          </m:den>
        </m:f>
      </m:oMath>
    </w:p>
    <w:p w:rsidR="00865FDB" w:rsidRDefault="000024A9" w:rsidP="000024A9">
      <w:pPr>
        <w:spacing w:after="100" w:afterAutospacing="1" w:line="360" w:lineRule="auto"/>
        <w:jc w:val="both"/>
        <w:rPr>
          <w:rFonts w:asciiTheme="majorBidi" w:hAnsiTheme="majorBidi" w:cstheme="majorBidi"/>
          <w:sz w:val="28"/>
          <w:szCs w:val="28"/>
        </w:rPr>
      </w:pPr>
      <w:r w:rsidRPr="000024A9">
        <w:rPr>
          <w:rFonts w:asciiTheme="majorBidi" w:hAnsiTheme="majorBidi" w:cstheme="majorBidi"/>
          <w:sz w:val="28"/>
          <w:szCs w:val="28"/>
        </w:rPr>
        <w:t>Les estimations de l’héritabilité sont utilisées pour la sélection</w:t>
      </w:r>
      <w:r w:rsidR="00865FDB">
        <w:rPr>
          <w:rFonts w:asciiTheme="majorBidi" w:hAnsiTheme="majorBidi" w:cstheme="majorBidi"/>
          <w:sz w:val="28"/>
          <w:szCs w:val="28"/>
        </w:rPr>
        <w:t xml:space="preserve"> des animaux et des plantes afin d’identifier comment une population réagit à la sélection artificielle pour un caractère quantitatif. L’héritabilité au sens étroit, </w:t>
      </w:r>
      <w:r w:rsidR="00865FDB">
        <w:rPr>
          <w:rFonts w:asciiTheme="majorBidi" w:hAnsiTheme="majorBidi" w:cstheme="majorBidi"/>
          <w:i/>
          <w:iCs/>
          <w:sz w:val="28"/>
          <w:szCs w:val="28"/>
        </w:rPr>
        <w:t>h</w:t>
      </w:r>
      <w:r w:rsidR="00865FDB">
        <w:rPr>
          <w:rFonts w:asciiTheme="majorBidi" w:hAnsiTheme="majorBidi" w:cstheme="majorBidi"/>
          <w:i/>
          <w:iCs/>
          <w:sz w:val="28"/>
          <w:szCs w:val="28"/>
          <w:vertAlign w:val="superscript"/>
        </w:rPr>
        <w:t>2</w:t>
      </w:r>
      <w:r w:rsidR="00865FDB">
        <w:rPr>
          <w:rFonts w:asciiTheme="majorBidi" w:hAnsiTheme="majorBidi" w:cstheme="majorBidi"/>
          <w:sz w:val="28"/>
          <w:szCs w:val="28"/>
        </w:rPr>
        <w:t xml:space="preserve">, donne une prédiction plus faible de la réponse à la sélection que l’héritabilité au sens large, </w:t>
      </w:r>
      <w:r w:rsidR="00865FDB">
        <w:rPr>
          <w:rFonts w:asciiTheme="majorBidi" w:hAnsiTheme="majorBidi" w:cstheme="majorBidi"/>
          <w:i/>
          <w:iCs/>
          <w:sz w:val="28"/>
          <w:szCs w:val="28"/>
        </w:rPr>
        <w:t>H</w:t>
      </w:r>
      <w:r w:rsidR="00865FDB">
        <w:rPr>
          <w:rFonts w:asciiTheme="majorBidi" w:hAnsiTheme="majorBidi" w:cstheme="majorBidi"/>
          <w:i/>
          <w:iCs/>
          <w:sz w:val="28"/>
          <w:szCs w:val="28"/>
          <w:vertAlign w:val="superscript"/>
        </w:rPr>
        <w:t>2</w:t>
      </w:r>
      <w:r w:rsidR="00865FDB">
        <w:rPr>
          <w:rFonts w:asciiTheme="majorBidi" w:hAnsiTheme="majorBidi" w:cstheme="majorBidi"/>
          <w:sz w:val="28"/>
          <w:szCs w:val="28"/>
        </w:rPr>
        <w:t xml:space="preserve">et de ce fait </w:t>
      </w:r>
      <w:r w:rsidR="00865FDB">
        <w:rPr>
          <w:rFonts w:asciiTheme="majorBidi" w:hAnsiTheme="majorBidi" w:cstheme="majorBidi"/>
          <w:i/>
          <w:iCs/>
          <w:sz w:val="28"/>
          <w:szCs w:val="28"/>
        </w:rPr>
        <w:t>h</w:t>
      </w:r>
      <w:r w:rsidR="00865FDB">
        <w:rPr>
          <w:rFonts w:asciiTheme="majorBidi" w:hAnsiTheme="majorBidi" w:cstheme="majorBidi"/>
          <w:i/>
          <w:iCs/>
          <w:sz w:val="28"/>
          <w:szCs w:val="28"/>
          <w:vertAlign w:val="superscript"/>
        </w:rPr>
        <w:t>2</w:t>
      </w:r>
      <w:r w:rsidR="00865FDB">
        <w:rPr>
          <w:rFonts w:asciiTheme="majorBidi" w:hAnsiTheme="majorBidi" w:cstheme="majorBidi"/>
          <w:sz w:val="28"/>
          <w:szCs w:val="28"/>
        </w:rPr>
        <w:t xml:space="preserve"> est plus souvent utilisée par les sélectionneurs.</w:t>
      </w:r>
    </w:p>
    <w:sectPr w:rsidR="00865FDB" w:rsidSect="00A752B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77" w:rsidRDefault="00401D77" w:rsidP="00EF35BE">
      <w:pPr>
        <w:spacing w:after="0" w:line="240" w:lineRule="auto"/>
      </w:pPr>
      <w:r>
        <w:separator/>
      </w:r>
    </w:p>
  </w:endnote>
  <w:endnote w:type="continuationSeparator" w:id="0">
    <w:p w:rsidR="00401D77" w:rsidRDefault="00401D77" w:rsidP="00E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77" w:rsidRDefault="00401D77" w:rsidP="00EF35BE">
      <w:pPr>
        <w:spacing w:after="0" w:line="240" w:lineRule="auto"/>
      </w:pPr>
      <w:r>
        <w:separator/>
      </w:r>
    </w:p>
  </w:footnote>
  <w:footnote w:type="continuationSeparator" w:id="0">
    <w:p w:rsidR="00401D77" w:rsidRDefault="00401D77" w:rsidP="00EF3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05B"/>
    <w:multiLevelType w:val="hybridMultilevel"/>
    <w:tmpl w:val="691A73EC"/>
    <w:lvl w:ilvl="0" w:tplc="BB0C689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80CD5"/>
    <w:multiLevelType w:val="hybridMultilevel"/>
    <w:tmpl w:val="D02E26D4"/>
    <w:lvl w:ilvl="0" w:tplc="040C000F">
      <w:start w:val="1"/>
      <w:numFmt w:val="decimal"/>
      <w:lvlText w:val="%1."/>
      <w:lvlJc w:val="left"/>
      <w:pPr>
        <w:ind w:left="1020" w:hanging="360"/>
      </w:p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2">
    <w:nsid w:val="09B21441"/>
    <w:multiLevelType w:val="hybridMultilevel"/>
    <w:tmpl w:val="4244A3CC"/>
    <w:lvl w:ilvl="0" w:tplc="6624E3A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E1A84"/>
    <w:multiLevelType w:val="hybridMultilevel"/>
    <w:tmpl w:val="67C46956"/>
    <w:lvl w:ilvl="0" w:tplc="9B58010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8715C0"/>
    <w:multiLevelType w:val="multilevel"/>
    <w:tmpl w:val="5AB6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94AC5"/>
    <w:multiLevelType w:val="hybridMultilevel"/>
    <w:tmpl w:val="8F0C60AE"/>
    <w:lvl w:ilvl="0" w:tplc="6E88BD2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141198"/>
    <w:multiLevelType w:val="hybridMultilevel"/>
    <w:tmpl w:val="F8B4BCE0"/>
    <w:lvl w:ilvl="0" w:tplc="AF2CB5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DF003A"/>
    <w:multiLevelType w:val="hybridMultilevel"/>
    <w:tmpl w:val="C5C013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175F04"/>
    <w:multiLevelType w:val="hybridMultilevel"/>
    <w:tmpl w:val="BFF49E8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FA03EAB"/>
    <w:multiLevelType w:val="hybridMultilevel"/>
    <w:tmpl w:val="38207B36"/>
    <w:lvl w:ilvl="0" w:tplc="3F002CBC">
      <w:start w:val="1"/>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3CE2B41"/>
    <w:multiLevelType w:val="hybridMultilevel"/>
    <w:tmpl w:val="490CA9EE"/>
    <w:lvl w:ilvl="0" w:tplc="040C0011">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3C8570E5"/>
    <w:multiLevelType w:val="hybridMultilevel"/>
    <w:tmpl w:val="17AA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B70145"/>
    <w:multiLevelType w:val="hybridMultilevel"/>
    <w:tmpl w:val="D6029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5B71BC"/>
    <w:multiLevelType w:val="hybridMultilevel"/>
    <w:tmpl w:val="D4A431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966410"/>
    <w:multiLevelType w:val="hybridMultilevel"/>
    <w:tmpl w:val="4F5E3C1A"/>
    <w:lvl w:ilvl="0" w:tplc="2B049A18">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9B5CC8"/>
    <w:multiLevelType w:val="hybridMultilevel"/>
    <w:tmpl w:val="683C3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B7198F"/>
    <w:multiLevelType w:val="hybridMultilevel"/>
    <w:tmpl w:val="B4D036FE"/>
    <w:lvl w:ilvl="0" w:tplc="FEAE2770">
      <w:start w:val="1"/>
      <w:numFmt w:val="lowerLetter"/>
      <w:lvlText w:val="%1."/>
      <w:lvlJc w:val="left"/>
      <w:pPr>
        <w:ind w:left="795" w:hanging="360"/>
      </w:pPr>
      <w:rPr>
        <w:b/>
        <w:bCs/>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7">
    <w:nsid w:val="6E1A31EC"/>
    <w:multiLevelType w:val="hybridMultilevel"/>
    <w:tmpl w:val="5A40D41E"/>
    <w:lvl w:ilvl="0" w:tplc="10D89B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1BE45FF"/>
    <w:multiLevelType w:val="hybridMultilevel"/>
    <w:tmpl w:val="43D82BCC"/>
    <w:lvl w:ilvl="0" w:tplc="828CC32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D3610B"/>
    <w:multiLevelType w:val="hybridMultilevel"/>
    <w:tmpl w:val="4F48CB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540908"/>
    <w:multiLevelType w:val="hybridMultilevel"/>
    <w:tmpl w:val="4372EC2A"/>
    <w:lvl w:ilvl="0" w:tplc="B4B650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20"/>
  </w:num>
  <w:num w:numId="4">
    <w:abstractNumId w:val="14"/>
  </w:num>
  <w:num w:numId="5">
    <w:abstractNumId w:val="3"/>
  </w:num>
  <w:num w:numId="6">
    <w:abstractNumId w:val="5"/>
  </w:num>
  <w:num w:numId="7">
    <w:abstractNumId w:val="2"/>
  </w:num>
  <w:num w:numId="8">
    <w:abstractNumId w:val="9"/>
  </w:num>
  <w:num w:numId="9">
    <w:abstractNumId w:val="1"/>
  </w:num>
  <w:num w:numId="10">
    <w:abstractNumId w:val="12"/>
  </w:num>
  <w:num w:numId="11">
    <w:abstractNumId w:val="11"/>
  </w:num>
  <w:num w:numId="12">
    <w:abstractNumId w:val="19"/>
  </w:num>
  <w:num w:numId="13">
    <w:abstractNumId w:val="7"/>
  </w:num>
  <w:num w:numId="14">
    <w:abstractNumId w:val="18"/>
  </w:num>
  <w:num w:numId="15">
    <w:abstractNumId w:val="8"/>
  </w:num>
  <w:num w:numId="16">
    <w:abstractNumId w:val="10"/>
  </w:num>
  <w:num w:numId="17">
    <w:abstractNumId w:val="16"/>
  </w:num>
  <w:num w:numId="18">
    <w:abstractNumId w:val="6"/>
  </w:num>
  <w:num w:numId="19">
    <w:abstractNumId w:val="15"/>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BB"/>
    <w:rsid w:val="00000842"/>
    <w:rsid w:val="000024A9"/>
    <w:rsid w:val="000067D2"/>
    <w:rsid w:val="000069DC"/>
    <w:rsid w:val="00010C7B"/>
    <w:rsid w:val="00017396"/>
    <w:rsid w:val="000208A8"/>
    <w:rsid w:val="000307B6"/>
    <w:rsid w:val="00030F83"/>
    <w:rsid w:val="00032575"/>
    <w:rsid w:val="000337C9"/>
    <w:rsid w:val="00035DAC"/>
    <w:rsid w:val="00036009"/>
    <w:rsid w:val="00050F99"/>
    <w:rsid w:val="0005787E"/>
    <w:rsid w:val="00063B0D"/>
    <w:rsid w:val="0007338F"/>
    <w:rsid w:val="000760CA"/>
    <w:rsid w:val="0007777D"/>
    <w:rsid w:val="000777AB"/>
    <w:rsid w:val="000877A5"/>
    <w:rsid w:val="000912D5"/>
    <w:rsid w:val="00093088"/>
    <w:rsid w:val="000A6C3E"/>
    <w:rsid w:val="000A700A"/>
    <w:rsid w:val="000A77EA"/>
    <w:rsid w:val="000A7834"/>
    <w:rsid w:val="000B3945"/>
    <w:rsid w:val="000C2B86"/>
    <w:rsid w:val="000D4619"/>
    <w:rsid w:val="000D73BA"/>
    <w:rsid w:val="000D77CE"/>
    <w:rsid w:val="000F0DE3"/>
    <w:rsid w:val="000F380B"/>
    <w:rsid w:val="000F5B15"/>
    <w:rsid w:val="000F62FE"/>
    <w:rsid w:val="000F7F91"/>
    <w:rsid w:val="00101E9E"/>
    <w:rsid w:val="00106E83"/>
    <w:rsid w:val="00116D8E"/>
    <w:rsid w:val="00117E04"/>
    <w:rsid w:val="00123D7E"/>
    <w:rsid w:val="00124922"/>
    <w:rsid w:val="00136450"/>
    <w:rsid w:val="001371F4"/>
    <w:rsid w:val="00143C99"/>
    <w:rsid w:val="00165E82"/>
    <w:rsid w:val="001717AC"/>
    <w:rsid w:val="0017422D"/>
    <w:rsid w:val="0019310F"/>
    <w:rsid w:val="00194F71"/>
    <w:rsid w:val="001A3235"/>
    <w:rsid w:val="001A437C"/>
    <w:rsid w:val="001B0B4A"/>
    <w:rsid w:val="001B1D73"/>
    <w:rsid w:val="001B3F72"/>
    <w:rsid w:val="001B7702"/>
    <w:rsid w:val="001C26BA"/>
    <w:rsid w:val="001D0911"/>
    <w:rsid w:val="001D53F5"/>
    <w:rsid w:val="001D6ED3"/>
    <w:rsid w:val="001D7BE2"/>
    <w:rsid w:val="001E3141"/>
    <w:rsid w:val="001E5D30"/>
    <w:rsid w:val="001E70B7"/>
    <w:rsid w:val="001F5C8E"/>
    <w:rsid w:val="00201338"/>
    <w:rsid w:val="00203056"/>
    <w:rsid w:val="00215F1F"/>
    <w:rsid w:val="002216C6"/>
    <w:rsid w:val="00223F35"/>
    <w:rsid w:val="00231EF1"/>
    <w:rsid w:val="00234836"/>
    <w:rsid w:val="002364C7"/>
    <w:rsid w:val="00241A28"/>
    <w:rsid w:val="00243B99"/>
    <w:rsid w:val="00247407"/>
    <w:rsid w:val="00251E9F"/>
    <w:rsid w:val="00253E8F"/>
    <w:rsid w:val="002560D2"/>
    <w:rsid w:val="00264465"/>
    <w:rsid w:val="002716AC"/>
    <w:rsid w:val="002727E9"/>
    <w:rsid w:val="002824C7"/>
    <w:rsid w:val="002967D2"/>
    <w:rsid w:val="002A33CE"/>
    <w:rsid w:val="002A6D22"/>
    <w:rsid w:val="002B0DA4"/>
    <w:rsid w:val="002B36AC"/>
    <w:rsid w:val="002B4126"/>
    <w:rsid w:val="002C0724"/>
    <w:rsid w:val="002C23A3"/>
    <w:rsid w:val="002D56C3"/>
    <w:rsid w:val="002E06EE"/>
    <w:rsid w:val="002F0BED"/>
    <w:rsid w:val="002F425C"/>
    <w:rsid w:val="002F632C"/>
    <w:rsid w:val="0030660B"/>
    <w:rsid w:val="00306BBC"/>
    <w:rsid w:val="00310482"/>
    <w:rsid w:val="00311167"/>
    <w:rsid w:val="0031434F"/>
    <w:rsid w:val="00314620"/>
    <w:rsid w:val="00320ECB"/>
    <w:rsid w:val="003273CD"/>
    <w:rsid w:val="00333C4C"/>
    <w:rsid w:val="0035056E"/>
    <w:rsid w:val="003532B4"/>
    <w:rsid w:val="00366911"/>
    <w:rsid w:val="00377C69"/>
    <w:rsid w:val="00381A1B"/>
    <w:rsid w:val="00392C19"/>
    <w:rsid w:val="003A01A7"/>
    <w:rsid w:val="003A0A2A"/>
    <w:rsid w:val="003A0B36"/>
    <w:rsid w:val="003A4F4E"/>
    <w:rsid w:val="003A6E0C"/>
    <w:rsid w:val="003B06C8"/>
    <w:rsid w:val="003B1C23"/>
    <w:rsid w:val="003B4DC6"/>
    <w:rsid w:val="003B65DF"/>
    <w:rsid w:val="003C214D"/>
    <w:rsid w:val="003C217B"/>
    <w:rsid w:val="003D58C4"/>
    <w:rsid w:val="003E0787"/>
    <w:rsid w:val="003E5C57"/>
    <w:rsid w:val="003E6D24"/>
    <w:rsid w:val="00401D77"/>
    <w:rsid w:val="00402CBA"/>
    <w:rsid w:val="00406527"/>
    <w:rsid w:val="00413EF2"/>
    <w:rsid w:val="00414240"/>
    <w:rsid w:val="00414384"/>
    <w:rsid w:val="00422B3A"/>
    <w:rsid w:val="00430FE6"/>
    <w:rsid w:val="00431E20"/>
    <w:rsid w:val="0043456F"/>
    <w:rsid w:val="00441D92"/>
    <w:rsid w:val="00453E53"/>
    <w:rsid w:val="00455C04"/>
    <w:rsid w:val="00460CC7"/>
    <w:rsid w:val="004621EA"/>
    <w:rsid w:val="004717B1"/>
    <w:rsid w:val="00473785"/>
    <w:rsid w:val="00477B82"/>
    <w:rsid w:val="00480FA7"/>
    <w:rsid w:val="00484BAB"/>
    <w:rsid w:val="00490DB3"/>
    <w:rsid w:val="00492EEF"/>
    <w:rsid w:val="004A44BF"/>
    <w:rsid w:val="004B057B"/>
    <w:rsid w:val="004B3010"/>
    <w:rsid w:val="004B7448"/>
    <w:rsid w:val="004C3DBE"/>
    <w:rsid w:val="004C45A2"/>
    <w:rsid w:val="004D2415"/>
    <w:rsid w:val="004E227A"/>
    <w:rsid w:val="004E37D1"/>
    <w:rsid w:val="004E7393"/>
    <w:rsid w:val="004F7DDD"/>
    <w:rsid w:val="00505442"/>
    <w:rsid w:val="00507505"/>
    <w:rsid w:val="00511D14"/>
    <w:rsid w:val="00512908"/>
    <w:rsid w:val="00516915"/>
    <w:rsid w:val="005229F3"/>
    <w:rsid w:val="005306CA"/>
    <w:rsid w:val="0053366C"/>
    <w:rsid w:val="005404DD"/>
    <w:rsid w:val="00542DE0"/>
    <w:rsid w:val="0054400E"/>
    <w:rsid w:val="00552AAD"/>
    <w:rsid w:val="0056329F"/>
    <w:rsid w:val="00564509"/>
    <w:rsid w:val="00567977"/>
    <w:rsid w:val="00570AEA"/>
    <w:rsid w:val="00571A73"/>
    <w:rsid w:val="00575415"/>
    <w:rsid w:val="0058752A"/>
    <w:rsid w:val="00590DDD"/>
    <w:rsid w:val="005959A4"/>
    <w:rsid w:val="00595C39"/>
    <w:rsid w:val="005A443E"/>
    <w:rsid w:val="005A7FB2"/>
    <w:rsid w:val="005B0A47"/>
    <w:rsid w:val="005C0BBD"/>
    <w:rsid w:val="005E0159"/>
    <w:rsid w:val="005E7D7C"/>
    <w:rsid w:val="005F0648"/>
    <w:rsid w:val="005F181A"/>
    <w:rsid w:val="005F73F0"/>
    <w:rsid w:val="00602B89"/>
    <w:rsid w:val="006046CD"/>
    <w:rsid w:val="00615676"/>
    <w:rsid w:val="00632181"/>
    <w:rsid w:val="006346FC"/>
    <w:rsid w:val="00634E74"/>
    <w:rsid w:val="006360C7"/>
    <w:rsid w:val="0064010E"/>
    <w:rsid w:val="006457F7"/>
    <w:rsid w:val="00647D89"/>
    <w:rsid w:val="00652A33"/>
    <w:rsid w:val="0065786A"/>
    <w:rsid w:val="006640FB"/>
    <w:rsid w:val="006675CC"/>
    <w:rsid w:val="00667F4F"/>
    <w:rsid w:val="00673742"/>
    <w:rsid w:val="00680110"/>
    <w:rsid w:val="006815C7"/>
    <w:rsid w:val="006833CD"/>
    <w:rsid w:val="0069101F"/>
    <w:rsid w:val="00694B21"/>
    <w:rsid w:val="006A757D"/>
    <w:rsid w:val="006B2BB4"/>
    <w:rsid w:val="006B39CB"/>
    <w:rsid w:val="006B44A8"/>
    <w:rsid w:val="006B60FB"/>
    <w:rsid w:val="006B7639"/>
    <w:rsid w:val="006C1008"/>
    <w:rsid w:val="006C1756"/>
    <w:rsid w:val="006C20BB"/>
    <w:rsid w:val="006C36DE"/>
    <w:rsid w:val="006C39A8"/>
    <w:rsid w:val="006D3364"/>
    <w:rsid w:val="006D339D"/>
    <w:rsid w:val="006E7D43"/>
    <w:rsid w:val="006F794E"/>
    <w:rsid w:val="007037D1"/>
    <w:rsid w:val="00712527"/>
    <w:rsid w:val="00726786"/>
    <w:rsid w:val="00726CED"/>
    <w:rsid w:val="00731A0E"/>
    <w:rsid w:val="0073627F"/>
    <w:rsid w:val="00753B0C"/>
    <w:rsid w:val="00765ECE"/>
    <w:rsid w:val="007661E2"/>
    <w:rsid w:val="007738D5"/>
    <w:rsid w:val="00776D8C"/>
    <w:rsid w:val="0078435B"/>
    <w:rsid w:val="00787DBF"/>
    <w:rsid w:val="00791FB3"/>
    <w:rsid w:val="00793F33"/>
    <w:rsid w:val="00796DB7"/>
    <w:rsid w:val="007A17A3"/>
    <w:rsid w:val="007A5432"/>
    <w:rsid w:val="007A674C"/>
    <w:rsid w:val="007B09CC"/>
    <w:rsid w:val="007B6331"/>
    <w:rsid w:val="007C4699"/>
    <w:rsid w:val="007D626A"/>
    <w:rsid w:val="007E0F8D"/>
    <w:rsid w:val="007F6411"/>
    <w:rsid w:val="00812FD7"/>
    <w:rsid w:val="008157EE"/>
    <w:rsid w:val="00827E8A"/>
    <w:rsid w:val="00830AA5"/>
    <w:rsid w:val="00833E6F"/>
    <w:rsid w:val="008375BF"/>
    <w:rsid w:val="00841A73"/>
    <w:rsid w:val="008479B1"/>
    <w:rsid w:val="0085517C"/>
    <w:rsid w:val="008553D0"/>
    <w:rsid w:val="0085651A"/>
    <w:rsid w:val="00865095"/>
    <w:rsid w:val="00865FDB"/>
    <w:rsid w:val="00866B45"/>
    <w:rsid w:val="00867809"/>
    <w:rsid w:val="008763ED"/>
    <w:rsid w:val="00876856"/>
    <w:rsid w:val="00883497"/>
    <w:rsid w:val="008950FB"/>
    <w:rsid w:val="008B0FC1"/>
    <w:rsid w:val="008B28B6"/>
    <w:rsid w:val="008C080F"/>
    <w:rsid w:val="008C09D9"/>
    <w:rsid w:val="008D045F"/>
    <w:rsid w:val="008E1687"/>
    <w:rsid w:val="008E3D41"/>
    <w:rsid w:val="008E60BF"/>
    <w:rsid w:val="008E7412"/>
    <w:rsid w:val="008E7E97"/>
    <w:rsid w:val="008F38B6"/>
    <w:rsid w:val="008F41B9"/>
    <w:rsid w:val="008F4A67"/>
    <w:rsid w:val="008F4E8F"/>
    <w:rsid w:val="00900D02"/>
    <w:rsid w:val="009074B8"/>
    <w:rsid w:val="00911652"/>
    <w:rsid w:val="00912EF3"/>
    <w:rsid w:val="00915AE6"/>
    <w:rsid w:val="00917B99"/>
    <w:rsid w:val="009306D9"/>
    <w:rsid w:val="00943661"/>
    <w:rsid w:val="00943A8A"/>
    <w:rsid w:val="009500D4"/>
    <w:rsid w:val="009507E9"/>
    <w:rsid w:val="00951B74"/>
    <w:rsid w:val="00955B6A"/>
    <w:rsid w:val="00962D64"/>
    <w:rsid w:val="0096680A"/>
    <w:rsid w:val="00967102"/>
    <w:rsid w:val="00970E9C"/>
    <w:rsid w:val="00972BD6"/>
    <w:rsid w:val="00974D73"/>
    <w:rsid w:val="00975EA2"/>
    <w:rsid w:val="00982B3D"/>
    <w:rsid w:val="00995B02"/>
    <w:rsid w:val="00995D37"/>
    <w:rsid w:val="009A2FBC"/>
    <w:rsid w:val="009A503A"/>
    <w:rsid w:val="009A6E19"/>
    <w:rsid w:val="009B4189"/>
    <w:rsid w:val="009B480C"/>
    <w:rsid w:val="009B7ECE"/>
    <w:rsid w:val="009C682E"/>
    <w:rsid w:val="009C7DAE"/>
    <w:rsid w:val="009D2A9D"/>
    <w:rsid w:val="009D3272"/>
    <w:rsid w:val="009D50AB"/>
    <w:rsid w:val="009D5C2A"/>
    <w:rsid w:val="009D6CEC"/>
    <w:rsid w:val="009D7802"/>
    <w:rsid w:val="009E56C1"/>
    <w:rsid w:val="009E6DC5"/>
    <w:rsid w:val="009F00B5"/>
    <w:rsid w:val="009F0634"/>
    <w:rsid w:val="009F0F5F"/>
    <w:rsid w:val="009F233B"/>
    <w:rsid w:val="009F26E5"/>
    <w:rsid w:val="009F7ADB"/>
    <w:rsid w:val="00A00855"/>
    <w:rsid w:val="00A018AF"/>
    <w:rsid w:val="00A06EB1"/>
    <w:rsid w:val="00A07F0B"/>
    <w:rsid w:val="00A10ECE"/>
    <w:rsid w:val="00A14270"/>
    <w:rsid w:val="00A14F9E"/>
    <w:rsid w:val="00A16792"/>
    <w:rsid w:val="00A20004"/>
    <w:rsid w:val="00A2783A"/>
    <w:rsid w:val="00A31AD1"/>
    <w:rsid w:val="00A33190"/>
    <w:rsid w:val="00A33E86"/>
    <w:rsid w:val="00A4039A"/>
    <w:rsid w:val="00A40578"/>
    <w:rsid w:val="00A4229E"/>
    <w:rsid w:val="00A45A28"/>
    <w:rsid w:val="00A4697B"/>
    <w:rsid w:val="00A473A4"/>
    <w:rsid w:val="00A620AA"/>
    <w:rsid w:val="00A630A2"/>
    <w:rsid w:val="00A6352D"/>
    <w:rsid w:val="00A65CEB"/>
    <w:rsid w:val="00A664B9"/>
    <w:rsid w:val="00A752BB"/>
    <w:rsid w:val="00A77D50"/>
    <w:rsid w:val="00A80CA6"/>
    <w:rsid w:val="00A82E21"/>
    <w:rsid w:val="00AA1B27"/>
    <w:rsid w:val="00AA379A"/>
    <w:rsid w:val="00AA4257"/>
    <w:rsid w:val="00AC2C91"/>
    <w:rsid w:val="00AD3453"/>
    <w:rsid w:val="00AD5900"/>
    <w:rsid w:val="00AD79C7"/>
    <w:rsid w:val="00AE5C4A"/>
    <w:rsid w:val="00AF016F"/>
    <w:rsid w:val="00AF790C"/>
    <w:rsid w:val="00AF7E6C"/>
    <w:rsid w:val="00B012AA"/>
    <w:rsid w:val="00B03123"/>
    <w:rsid w:val="00B05A6A"/>
    <w:rsid w:val="00B05D57"/>
    <w:rsid w:val="00B06B6F"/>
    <w:rsid w:val="00B10607"/>
    <w:rsid w:val="00B23A59"/>
    <w:rsid w:val="00B31F47"/>
    <w:rsid w:val="00B3268F"/>
    <w:rsid w:val="00B35336"/>
    <w:rsid w:val="00B358A9"/>
    <w:rsid w:val="00B405FE"/>
    <w:rsid w:val="00B467CD"/>
    <w:rsid w:val="00B46A32"/>
    <w:rsid w:val="00B56DC8"/>
    <w:rsid w:val="00B65B18"/>
    <w:rsid w:val="00B74875"/>
    <w:rsid w:val="00B81FA4"/>
    <w:rsid w:val="00B877F5"/>
    <w:rsid w:val="00B9198F"/>
    <w:rsid w:val="00B92AC4"/>
    <w:rsid w:val="00BA03A7"/>
    <w:rsid w:val="00BA33F1"/>
    <w:rsid w:val="00BB4594"/>
    <w:rsid w:val="00BC1FCC"/>
    <w:rsid w:val="00BC3239"/>
    <w:rsid w:val="00BC4E71"/>
    <w:rsid w:val="00BC5042"/>
    <w:rsid w:val="00BC54D8"/>
    <w:rsid w:val="00BD0935"/>
    <w:rsid w:val="00BD0DA8"/>
    <w:rsid w:val="00BE6C9C"/>
    <w:rsid w:val="00BF4F3C"/>
    <w:rsid w:val="00BF5E0E"/>
    <w:rsid w:val="00BF6074"/>
    <w:rsid w:val="00C026AB"/>
    <w:rsid w:val="00C026E3"/>
    <w:rsid w:val="00C05378"/>
    <w:rsid w:val="00C05B97"/>
    <w:rsid w:val="00C13BAD"/>
    <w:rsid w:val="00C14017"/>
    <w:rsid w:val="00C14591"/>
    <w:rsid w:val="00C14D5F"/>
    <w:rsid w:val="00C15D4E"/>
    <w:rsid w:val="00C23A1B"/>
    <w:rsid w:val="00C23C38"/>
    <w:rsid w:val="00C24986"/>
    <w:rsid w:val="00C301A2"/>
    <w:rsid w:val="00C33373"/>
    <w:rsid w:val="00C376E1"/>
    <w:rsid w:val="00C40CC1"/>
    <w:rsid w:val="00C41643"/>
    <w:rsid w:val="00C43D07"/>
    <w:rsid w:val="00C45B93"/>
    <w:rsid w:val="00C50C00"/>
    <w:rsid w:val="00C51B81"/>
    <w:rsid w:val="00C56B74"/>
    <w:rsid w:val="00C57980"/>
    <w:rsid w:val="00C618A3"/>
    <w:rsid w:val="00C6310E"/>
    <w:rsid w:val="00C673F8"/>
    <w:rsid w:val="00C805C1"/>
    <w:rsid w:val="00C87269"/>
    <w:rsid w:val="00C91B06"/>
    <w:rsid w:val="00CA467D"/>
    <w:rsid w:val="00CA59F6"/>
    <w:rsid w:val="00CB1B74"/>
    <w:rsid w:val="00CB20BE"/>
    <w:rsid w:val="00CB5188"/>
    <w:rsid w:val="00CB572E"/>
    <w:rsid w:val="00CB63DB"/>
    <w:rsid w:val="00CC11CD"/>
    <w:rsid w:val="00CC5D1A"/>
    <w:rsid w:val="00CD7591"/>
    <w:rsid w:val="00CE5C6B"/>
    <w:rsid w:val="00CF3E56"/>
    <w:rsid w:val="00CF6087"/>
    <w:rsid w:val="00CF791A"/>
    <w:rsid w:val="00D01243"/>
    <w:rsid w:val="00D01D4D"/>
    <w:rsid w:val="00D07AB2"/>
    <w:rsid w:val="00D20EED"/>
    <w:rsid w:val="00D215A5"/>
    <w:rsid w:val="00D222D8"/>
    <w:rsid w:val="00D24F72"/>
    <w:rsid w:val="00D2685C"/>
    <w:rsid w:val="00D2719D"/>
    <w:rsid w:val="00D37350"/>
    <w:rsid w:val="00D37E91"/>
    <w:rsid w:val="00D44C20"/>
    <w:rsid w:val="00D46F12"/>
    <w:rsid w:val="00D47998"/>
    <w:rsid w:val="00D57904"/>
    <w:rsid w:val="00D61602"/>
    <w:rsid w:val="00D6687A"/>
    <w:rsid w:val="00D7014C"/>
    <w:rsid w:val="00D83063"/>
    <w:rsid w:val="00D838B7"/>
    <w:rsid w:val="00D910A1"/>
    <w:rsid w:val="00D92474"/>
    <w:rsid w:val="00D92B0B"/>
    <w:rsid w:val="00D953B3"/>
    <w:rsid w:val="00DA401F"/>
    <w:rsid w:val="00DA4B92"/>
    <w:rsid w:val="00DA505F"/>
    <w:rsid w:val="00DA50BA"/>
    <w:rsid w:val="00DA5347"/>
    <w:rsid w:val="00DA6609"/>
    <w:rsid w:val="00DB3D2A"/>
    <w:rsid w:val="00DB7988"/>
    <w:rsid w:val="00DD347E"/>
    <w:rsid w:val="00DD3642"/>
    <w:rsid w:val="00DD6A37"/>
    <w:rsid w:val="00DD74F1"/>
    <w:rsid w:val="00DE0151"/>
    <w:rsid w:val="00DE4519"/>
    <w:rsid w:val="00DE50BA"/>
    <w:rsid w:val="00DF72C7"/>
    <w:rsid w:val="00E03987"/>
    <w:rsid w:val="00E14F49"/>
    <w:rsid w:val="00E178FF"/>
    <w:rsid w:val="00E20384"/>
    <w:rsid w:val="00E20CDE"/>
    <w:rsid w:val="00E22024"/>
    <w:rsid w:val="00E25F5C"/>
    <w:rsid w:val="00E27BAB"/>
    <w:rsid w:val="00E32F41"/>
    <w:rsid w:val="00E33AF8"/>
    <w:rsid w:val="00E33E06"/>
    <w:rsid w:val="00E3452A"/>
    <w:rsid w:val="00E35C66"/>
    <w:rsid w:val="00E37B4A"/>
    <w:rsid w:val="00E400D4"/>
    <w:rsid w:val="00E43A16"/>
    <w:rsid w:val="00E5153F"/>
    <w:rsid w:val="00E52159"/>
    <w:rsid w:val="00E55FAF"/>
    <w:rsid w:val="00E6046B"/>
    <w:rsid w:val="00E710EA"/>
    <w:rsid w:val="00E72C85"/>
    <w:rsid w:val="00E72F53"/>
    <w:rsid w:val="00E75884"/>
    <w:rsid w:val="00E76FBD"/>
    <w:rsid w:val="00E8410F"/>
    <w:rsid w:val="00E92C93"/>
    <w:rsid w:val="00EA0F6D"/>
    <w:rsid w:val="00EA3029"/>
    <w:rsid w:val="00EB23A5"/>
    <w:rsid w:val="00EC54B6"/>
    <w:rsid w:val="00EC65F7"/>
    <w:rsid w:val="00EC7BB6"/>
    <w:rsid w:val="00ED26B6"/>
    <w:rsid w:val="00ED7EF6"/>
    <w:rsid w:val="00EE24A7"/>
    <w:rsid w:val="00EE5E92"/>
    <w:rsid w:val="00EE6EE6"/>
    <w:rsid w:val="00EF107A"/>
    <w:rsid w:val="00EF35BE"/>
    <w:rsid w:val="00F032B6"/>
    <w:rsid w:val="00F06827"/>
    <w:rsid w:val="00F10427"/>
    <w:rsid w:val="00F104F5"/>
    <w:rsid w:val="00F35038"/>
    <w:rsid w:val="00F36F1A"/>
    <w:rsid w:val="00F4471C"/>
    <w:rsid w:val="00F45493"/>
    <w:rsid w:val="00F46ED4"/>
    <w:rsid w:val="00F61584"/>
    <w:rsid w:val="00F61646"/>
    <w:rsid w:val="00F64252"/>
    <w:rsid w:val="00F657DE"/>
    <w:rsid w:val="00F73FED"/>
    <w:rsid w:val="00F83DDE"/>
    <w:rsid w:val="00F90DD8"/>
    <w:rsid w:val="00F91E3C"/>
    <w:rsid w:val="00F929F5"/>
    <w:rsid w:val="00FA1A45"/>
    <w:rsid w:val="00FA48B7"/>
    <w:rsid w:val="00FB576F"/>
    <w:rsid w:val="00FB6B56"/>
    <w:rsid w:val="00FC497D"/>
    <w:rsid w:val="00FC4A4A"/>
    <w:rsid w:val="00FD1BAD"/>
    <w:rsid w:val="00FD2E37"/>
    <w:rsid w:val="00FD342D"/>
    <w:rsid w:val="00FD5BBC"/>
    <w:rsid w:val="00FE6E98"/>
    <w:rsid w:val="00FF1F19"/>
    <w:rsid w:val="00FF2956"/>
    <w:rsid w:val="00FF48ED"/>
    <w:rsid w:val="00FF4A8C"/>
    <w:rsid w:val="00FF53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32C"/>
    <w:pPr>
      <w:ind w:left="720"/>
      <w:contextualSpacing/>
    </w:pPr>
  </w:style>
  <w:style w:type="character" w:styleId="Textedelespacerserv">
    <w:name w:val="Placeholder Text"/>
    <w:basedOn w:val="Policepardfaut"/>
    <w:uiPriority w:val="99"/>
    <w:semiHidden/>
    <w:rsid w:val="00A4039A"/>
    <w:rPr>
      <w:color w:val="808080"/>
    </w:rPr>
  </w:style>
  <w:style w:type="paragraph" w:styleId="Textedebulles">
    <w:name w:val="Balloon Text"/>
    <w:basedOn w:val="Normal"/>
    <w:link w:val="TextedebullesCar"/>
    <w:uiPriority w:val="99"/>
    <w:semiHidden/>
    <w:unhideWhenUsed/>
    <w:rsid w:val="00A40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39A"/>
    <w:rPr>
      <w:rFonts w:ascii="Tahoma" w:hAnsi="Tahoma" w:cs="Tahoma"/>
      <w:sz w:val="16"/>
      <w:szCs w:val="16"/>
    </w:rPr>
  </w:style>
  <w:style w:type="table" w:styleId="Grilledutableau">
    <w:name w:val="Table Grid"/>
    <w:basedOn w:val="TableauNormal"/>
    <w:uiPriority w:val="59"/>
    <w:rsid w:val="00950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35B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F35BE"/>
  </w:style>
  <w:style w:type="paragraph" w:styleId="Pieddepage">
    <w:name w:val="footer"/>
    <w:basedOn w:val="Normal"/>
    <w:link w:val="PieddepageCar"/>
    <w:uiPriority w:val="99"/>
    <w:semiHidden/>
    <w:unhideWhenUsed/>
    <w:rsid w:val="00EF35B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F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32C"/>
    <w:pPr>
      <w:ind w:left="720"/>
      <w:contextualSpacing/>
    </w:pPr>
  </w:style>
  <w:style w:type="character" w:styleId="Textedelespacerserv">
    <w:name w:val="Placeholder Text"/>
    <w:basedOn w:val="Policepardfaut"/>
    <w:uiPriority w:val="99"/>
    <w:semiHidden/>
    <w:rsid w:val="00A4039A"/>
    <w:rPr>
      <w:color w:val="808080"/>
    </w:rPr>
  </w:style>
  <w:style w:type="paragraph" w:styleId="Textedebulles">
    <w:name w:val="Balloon Text"/>
    <w:basedOn w:val="Normal"/>
    <w:link w:val="TextedebullesCar"/>
    <w:uiPriority w:val="99"/>
    <w:semiHidden/>
    <w:unhideWhenUsed/>
    <w:rsid w:val="00A40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39A"/>
    <w:rPr>
      <w:rFonts w:ascii="Tahoma" w:hAnsi="Tahoma" w:cs="Tahoma"/>
      <w:sz w:val="16"/>
      <w:szCs w:val="16"/>
    </w:rPr>
  </w:style>
  <w:style w:type="table" w:styleId="Grilledutableau">
    <w:name w:val="Table Grid"/>
    <w:basedOn w:val="TableauNormal"/>
    <w:uiPriority w:val="59"/>
    <w:rsid w:val="00950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35B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F35BE"/>
  </w:style>
  <w:style w:type="paragraph" w:styleId="Pieddepage">
    <w:name w:val="footer"/>
    <w:basedOn w:val="Normal"/>
    <w:link w:val="PieddepageCar"/>
    <w:uiPriority w:val="99"/>
    <w:semiHidden/>
    <w:unhideWhenUsed/>
    <w:rsid w:val="00EF35B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B80C-1EF0-4F02-B7D5-4010FFA1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STARNET</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pc</cp:lastModifiedBy>
  <cp:revision>2</cp:revision>
  <dcterms:created xsi:type="dcterms:W3CDTF">2020-10-26T19:40:00Z</dcterms:created>
  <dcterms:modified xsi:type="dcterms:W3CDTF">2020-10-26T19:40:00Z</dcterms:modified>
</cp:coreProperties>
</file>