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B96" w:rsidRDefault="00853226" w:rsidP="00FB0B96">
      <w:pPr>
        <w:tabs>
          <w:tab w:val="left" w:pos="263"/>
        </w:tabs>
        <w:bidi/>
        <w:spacing w:after="0" w:line="240" w:lineRule="auto"/>
        <w:jc w:val="center"/>
        <w:rPr>
          <w:rFonts w:ascii="Traditional Arabic" w:eastAsia="Simplified Arabic" w:hAnsi="Traditional Arabic" w:cs="Traditional Arabic"/>
          <w:b/>
          <w:bCs/>
          <w:sz w:val="32"/>
          <w:szCs w:val="32"/>
          <w:rtl/>
        </w:rPr>
      </w:pPr>
      <w:bookmarkStart w:id="0" w:name="_GoBack"/>
      <w:bookmarkEnd w:id="0"/>
      <w:r>
        <w:rPr>
          <w:rFonts w:ascii="Traditional Arabic" w:eastAsia="Simplified Arabic" w:hAnsi="Traditional Arabic" w:cs="Traditional Arabic"/>
          <w:b/>
          <w:bCs/>
          <w:noProof/>
          <w:sz w:val="32"/>
          <w:szCs w:val="32"/>
          <w:rtl/>
          <w:lang w:eastAsia="fr-FR"/>
        </w:rPr>
        <mc:AlternateContent>
          <mc:Choice Requires="wps">
            <w:drawing>
              <wp:anchor distT="0" distB="0" distL="114300" distR="114300" simplePos="0" relativeHeight="251661312" behindDoc="0" locked="0" layoutInCell="1" allowOverlap="1">
                <wp:simplePos x="0" y="0"/>
                <wp:positionH relativeFrom="column">
                  <wp:posOffset>686435</wp:posOffset>
                </wp:positionH>
                <wp:positionV relativeFrom="paragraph">
                  <wp:posOffset>-381000</wp:posOffset>
                </wp:positionV>
                <wp:extent cx="5090160" cy="899795"/>
                <wp:effectExtent l="83820" t="83185" r="7620" b="762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0160" cy="899795"/>
                        </a:xfrm>
                        <a:prstGeom prst="horizontalScroll">
                          <a:avLst>
                            <a:gd name="adj" fmla="val 12500"/>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txbx>
                        <w:txbxContent>
                          <w:p w:rsidR="00FB0B96" w:rsidRDefault="00FB0B96" w:rsidP="00FB0B96">
                            <w:pPr>
                              <w:bidi/>
                              <w:spacing w:after="0" w:line="240" w:lineRule="auto"/>
                              <w:jc w:val="center"/>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المحور الثاني: نشأة وهياكل البورصة</w:t>
                            </w:r>
                          </w:p>
                          <w:p w:rsidR="00FB0B96" w:rsidRPr="004E1228" w:rsidRDefault="00FB0B96" w:rsidP="00FB0B96">
                            <w:pPr>
                              <w:bidi/>
                              <w:spacing w:after="0" w:line="240" w:lineRule="auto"/>
                              <w:jc w:val="center"/>
                              <w:rPr>
                                <w:rFonts w:asciiTheme="majorBidi" w:hAnsiTheme="majorBidi" w:cstheme="majorBidi"/>
                                <w:b/>
                                <w:bCs/>
                                <w:sz w:val="36"/>
                                <w:szCs w:val="36"/>
                                <w:rtl/>
                                <w:lang w:bidi="ar-DZ"/>
                              </w:rPr>
                            </w:pPr>
                            <w:r w:rsidRPr="004E1228">
                              <w:rPr>
                                <w:rFonts w:asciiTheme="majorBidi" w:hAnsiTheme="majorBidi" w:cstheme="majorBidi"/>
                                <w:b/>
                                <w:bCs/>
                                <w:sz w:val="36"/>
                                <w:szCs w:val="36"/>
                                <w:rtl/>
                                <w:lang w:bidi="ar-DZ"/>
                              </w:rPr>
                              <w:t>المحاضرة رقم 0</w:t>
                            </w:r>
                            <w:r>
                              <w:rPr>
                                <w:rFonts w:asciiTheme="majorBidi" w:hAnsiTheme="majorBidi" w:cstheme="majorBidi" w:hint="cs"/>
                                <w:b/>
                                <w:bCs/>
                                <w:sz w:val="36"/>
                                <w:szCs w:val="36"/>
                                <w:rtl/>
                                <w:lang w:bidi="ar-DZ"/>
                              </w:rPr>
                              <w:t>3</w:t>
                            </w:r>
                            <w:r w:rsidRPr="004E1228">
                              <w:rPr>
                                <w:rFonts w:asciiTheme="majorBidi" w:hAnsiTheme="majorBidi" w:cstheme="majorBidi"/>
                                <w:b/>
                                <w:bCs/>
                                <w:sz w:val="36"/>
                                <w:szCs w:val="36"/>
                                <w:rtl/>
                                <w:lang w:bidi="ar-DZ"/>
                              </w:rPr>
                              <w:t>:</w:t>
                            </w:r>
                            <w:r w:rsidRPr="004E1228">
                              <w:rPr>
                                <w:rFonts w:hint="cs"/>
                                <w:rtl/>
                              </w:rPr>
                              <w:t xml:space="preserve"> </w:t>
                            </w:r>
                            <w:r>
                              <w:rPr>
                                <w:rFonts w:ascii="Times New Roman" w:eastAsia="Simplified Arabic" w:hAnsi="Times New Roman" w:cs="Times New Roman" w:hint="cs"/>
                                <w:bCs/>
                                <w:sz w:val="32"/>
                                <w:szCs w:val="32"/>
                                <w:rtl/>
                              </w:rPr>
                              <w:t>وظائف لجنة</w:t>
                            </w:r>
                            <w:r w:rsidRPr="002700E9">
                              <w:rPr>
                                <w:rFonts w:ascii="Times New Roman" w:eastAsia="Simplified Arabic" w:hAnsi="Times New Roman" w:cs="Times New Roman"/>
                                <w:bCs/>
                                <w:sz w:val="32"/>
                                <w:szCs w:val="32"/>
                                <w:rtl/>
                              </w:rPr>
                              <w:t xml:space="preserve"> تنظيم ومراقبة عمليات البورصة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8" o:spid="_x0000_s1026" type="#_x0000_t98" style="position:absolute;left:0;text-align:left;margin-left:54.05pt;margin-top:-30pt;width:400.8pt;height:7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">
                <v:shadow on="t" opacity=".5" offset="-6pt,-6pt"/>
                <v:textbox>
                  <w:txbxContent>
                    <w:p w:rsidR="00FB0B96" w:rsidRDefault="00FB0B96" w:rsidP="00FB0B96">
                      <w:pPr>
                        <w:bidi/>
                        <w:spacing w:after="0" w:line="240" w:lineRule="auto"/>
                        <w:jc w:val="center"/>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المحور الثاني: نشأة وهياكل البورصة</w:t>
                      </w:r>
                    </w:p>
                    <w:p w:rsidR="00FB0B96" w:rsidRPr="004E1228" w:rsidRDefault="00FB0B96" w:rsidP="00FB0B96">
                      <w:pPr>
                        <w:bidi/>
                        <w:spacing w:after="0" w:line="240" w:lineRule="auto"/>
                        <w:jc w:val="center"/>
                        <w:rPr>
                          <w:rFonts w:asciiTheme="majorBidi" w:hAnsiTheme="majorBidi" w:cstheme="majorBidi"/>
                          <w:b/>
                          <w:bCs/>
                          <w:sz w:val="36"/>
                          <w:szCs w:val="36"/>
                          <w:rtl/>
                          <w:lang w:bidi="ar-DZ"/>
                        </w:rPr>
                      </w:pPr>
                      <w:r w:rsidRPr="004E1228">
                        <w:rPr>
                          <w:rFonts w:asciiTheme="majorBidi" w:hAnsiTheme="majorBidi" w:cstheme="majorBidi"/>
                          <w:b/>
                          <w:bCs/>
                          <w:sz w:val="36"/>
                          <w:szCs w:val="36"/>
                          <w:rtl/>
                          <w:lang w:bidi="ar-DZ"/>
                        </w:rPr>
                        <w:t>المحاضرة رقم 0</w:t>
                      </w:r>
                      <w:r>
                        <w:rPr>
                          <w:rFonts w:asciiTheme="majorBidi" w:hAnsiTheme="majorBidi" w:cstheme="majorBidi" w:hint="cs"/>
                          <w:b/>
                          <w:bCs/>
                          <w:sz w:val="36"/>
                          <w:szCs w:val="36"/>
                          <w:rtl/>
                          <w:lang w:bidi="ar-DZ"/>
                        </w:rPr>
                        <w:t>3</w:t>
                      </w:r>
                      <w:r w:rsidRPr="004E1228">
                        <w:rPr>
                          <w:rFonts w:asciiTheme="majorBidi" w:hAnsiTheme="majorBidi" w:cstheme="majorBidi"/>
                          <w:b/>
                          <w:bCs/>
                          <w:sz w:val="36"/>
                          <w:szCs w:val="36"/>
                          <w:rtl/>
                          <w:lang w:bidi="ar-DZ"/>
                        </w:rPr>
                        <w:t>:</w:t>
                      </w:r>
                      <w:r w:rsidRPr="004E1228">
                        <w:rPr>
                          <w:rFonts w:hint="cs"/>
                          <w:rtl/>
                        </w:rPr>
                        <w:t xml:space="preserve"> </w:t>
                      </w:r>
                      <w:r>
                        <w:rPr>
                          <w:rFonts w:ascii="Times New Roman" w:eastAsia="Simplified Arabic" w:hAnsi="Times New Roman" w:cs="Times New Roman" w:hint="cs"/>
                          <w:bCs/>
                          <w:sz w:val="32"/>
                          <w:szCs w:val="32"/>
                          <w:rtl/>
                        </w:rPr>
                        <w:t>وظائف لجنة</w:t>
                      </w:r>
                      <w:r w:rsidRPr="002700E9">
                        <w:rPr>
                          <w:rFonts w:ascii="Times New Roman" w:eastAsia="Simplified Arabic" w:hAnsi="Times New Roman" w:cs="Times New Roman"/>
                          <w:bCs/>
                          <w:sz w:val="32"/>
                          <w:szCs w:val="32"/>
                          <w:rtl/>
                        </w:rPr>
                        <w:t xml:space="preserve"> تنظيم ومراقبة عمليات البورصة</w:t>
                      </w:r>
                    </w:p>
                  </w:txbxContent>
                </v:textbox>
              </v:shape>
            </w:pict>
          </mc:Fallback>
        </mc:AlternateContent>
      </w:r>
    </w:p>
    <w:p w:rsidR="00FB0B96" w:rsidRDefault="00FB0B96" w:rsidP="00FB0B96">
      <w:pPr>
        <w:tabs>
          <w:tab w:val="left" w:pos="263"/>
        </w:tabs>
        <w:bidi/>
        <w:spacing w:after="0" w:line="240" w:lineRule="auto"/>
        <w:jc w:val="both"/>
        <w:rPr>
          <w:rFonts w:ascii="Traditional Arabic" w:eastAsia="Simplified Arabic" w:hAnsi="Traditional Arabic" w:cs="Traditional Arabic"/>
          <w:b/>
          <w:bCs/>
          <w:sz w:val="32"/>
          <w:szCs w:val="32"/>
          <w:rtl/>
        </w:rPr>
      </w:pPr>
    </w:p>
    <w:p w:rsidR="00FB0B96" w:rsidRPr="00FB0B96" w:rsidRDefault="00FB0B96" w:rsidP="00FB0B96">
      <w:pPr>
        <w:tabs>
          <w:tab w:val="left" w:pos="263"/>
        </w:tabs>
        <w:bidi/>
        <w:spacing w:after="0" w:line="240" w:lineRule="auto"/>
        <w:jc w:val="both"/>
        <w:rPr>
          <w:rFonts w:ascii="Traditional Arabic" w:eastAsia="Simplified Arabic" w:hAnsi="Traditional Arabic" w:cs="Traditional Arabic"/>
          <w:b/>
          <w:bCs/>
          <w:sz w:val="32"/>
          <w:szCs w:val="32"/>
          <w:rtl/>
        </w:rPr>
      </w:pPr>
      <w:r w:rsidRPr="00FB0B96">
        <w:rPr>
          <w:rFonts w:ascii="Traditional Arabic" w:eastAsia="Simplified Arabic" w:hAnsi="Traditional Arabic" w:cs="Traditional Arabic"/>
          <w:sz w:val="32"/>
          <w:szCs w:val="32"/>
          <w:rtl/>
        </w:rPr>
        <w:t>مكن المشرع اللجنة من عدة وظائف حتى تتمكن من أداء الدور المنوط بها، وتتمثل هذه الوظائف فيما يلي</w:t>
      </w:r>
      <w:r w:rsidRPr="00FB0B96">
        <w:rPr>
          <w:rFonts w:ascii="Traditional Arabic" w:eastAsia="Simplified Arabic" w:hAnsi="Traditional Arabic" w:cs="Traditional Arabic"/>
          <w:sz w:val="32"/>
          <w:szCs w:val="32"/>
        </w:rPr>
        <w:t>:</w:t>
      </w:r>
    </w:p>
    <w:p w:rsidR="00FB0B96" w:rsidRPr="00FB0B96" w:rsidRDefault="00FB0B96" w:rsidP="00FB0B96">
      <w:pPr>
        <w:tabs>
          <w:tab w:val="left" w:pos="263"/>
        </w:tabs>
        <w:bidi/>
        <w:spacing w:after="0" w:line="240" w:lineRule="auto"/>
        <w:ind w:right="263"/>
        <w:jc w:val="both"/>
        <w:rPr>
          <w:rFonts w:ascii="Traditional Arabic" w:eastAsia="Simplified Arabic" w:hAnsi="Traditional Arabic" w:cs="Traditional Arabic"/>
          <w:sz w:val="32"/>
          <w:szCs w:val="32"/>
          <w:rtl/>
        </w:rPr>
      </w:pPr>
      <w:r w:rsidRPr="00FB0B96">
        <w:rPr>
          <w:rFonts w:ascii="Traditional Arabic" w:eastAsia="Simplified Arabic" w:hAnsi="Traditional Arabic" w:cs="Traditional Arabic"/>
          <w:b/>
          <w:bCs/>
          <w:sz w:val="32"/>
          <w:szCs w:val="32"/>
          <w:rtl/>
        </w:rPr>
        <w:t>أ- الوظيفة القانونية:</w:t>
      </w:r>
      <w:r w:rsidRPr="00FB0B96">
        <w:rPr>
          <w:rFonts w:ascii="Traditional Arabic" w:eastAsia="Simplified Arabic" w:hAnsi="Traditional Arabic" w:cs="Traditional Arabic"/>
          <w:sz w:val="32"/>
          <w:szCs w:val="32"/>
          <w:rtl/>
        </w:rPr>
        <w:t xml:space="preserve"> تعتبر هذه الوظيفة أهم الوظائف حيث تخص الجانب القانوني لتنظيم وسير بورصة القيم المنقولة. وعلى ضوء هذه الوظيفة، تقوم لجنة تنظيم ومراقبة عمليات بسن تقنينات تتعلق على وجه الخصوص بما يلي:</w:t>
      </w:r>
    </w:p>
    <w:p w:rsidR="00FB0B96" w:rsidRPr="00FB0B96" w:rsidRDefault="00FB0B96" w:rsidP="00FB0B96">
      <w:pPr>
        <w:tabs>
          <w:tab w:val="left" w:pos="263"/>
        </w:tabs>
        <w:bidi/>
        <w:spacing w:after="0" w:line="240" w:lineRule="auto"/>
        <w:ind w:right="263"/>
        <w:jc w:val="both"/>
        <w:rPr>
          <w:rFonts w:ascii="Traditional Arabic" w:eastAsia="Simplified Arabic" w:hAnsi="Traditional Arabic" w:cs="Traditional Arabic"/>
          <w:sz w:val="32"/>
          <w:szCs w:val="32"/>
          <w:rtl/>
        </w:rPr>
      </w:pPr>
      <w:r w:rsidRPr="00FB0B96">
        <w:rPr>
          <w:rFonts w:ascii="Traditional Arabic" w:eastAsia="Simplified Arabic" w:hAnsi="Traditional Arabic" w:cs="Traditional Arabic"/>
          <w:sz w:val="32"/>
          <w:szCs w:val="32"/>
        </w:rPr>
        <w:t>-</w:t>
      </w:r>
      <w:r w:rsidRPr="00FB0B96">
        <w:rPr>
          <w:rFonts w:ascii="Traditional Arabic" w:eastAsia="Simplified Arabic" w:hAnsi="Traditional Arabic" w:cs="Traditional Arabic"/>
          <w:sz w:val="32"/>
          <w:szCs w:val="32"/>
        </w:rPr>
        <w:tab/>
      </w:r>
      <w:r w:rsidRPr="00FB0B96">
        <w:rPr>
          <w:rFonts w:ascii="Traditional Arabic" w:eastAsia="Simplified Arabic" w:hAnsi="Traditional Arabic" w:cs="Traditional Arabic"/>
          <w:sz w:val="32"/>
          <w:szCs w:val="32"/>
          <w:rtl/>
        </w:rPr>
        <w:t>نوعية رؤوس الأموال التي يمكن استثمارها في عمليات البورصة</w:t>
      </w:r>
      <w:r w:rsidRPr="00FB0B96">
        <w:rPr>
          <w:rFonts w:ascii="Traditional Arabic" w:eastAsia="Simplified Arabic" w:hAnsi="Traditional Arabic" w:cs="Traditional Arabic"/>
          <w:sz w:val="32"/>
          <w:szCs w:val="32"/>
        </w:rPr>
        <w:t>.</w:t>
      </w:r>
    </w:p>
    <w:p w:rsidR="00FB0B96" w:rsidRPr="00FB0B96" w:rsidRDefault="00FB0B96" w:rsidP="00FB0B96">
      <w:pPr>
        <w:tabs>
          <w:tab w:val="left" w:pos="263"/>
        </w:tabs>
        <w:bidi/>
        <w:spacing w:after="0" w:line="240" w:lineRule="auto"/>
        <w:ind w:right="263"/>
        <w:jc w:val="both"/>
        <w:rPr>
          <w:rFonts w:ascii="Traditional Arabic" w:eastAsia="Simplified Arabic" w:hAnsi="Traditional Arabic" w:cs="Traditional Arabic"/>
          <w:sz w:val="32"/>
          <w:szCs w:val="32"/>
          <w:rtl/>
        </w:rPr>
      </w:pPr>
      <w:r w:rsidRPr="00FB0B96">
        <w:rPr>
          <w:rFonts w:ascii="Traditional Arabic" w:eastAsia="Simplified Arabic" w:hAnsi="Traditional Arabic" w:cs="Traditional Arabic"/>
          <w:sz w:val="32"/>
          <w:szCs w:val="32"/>
        </w:rPr>
        <w:t>-</w:t>
      </w:r>
      <w:r w:rsidRPr="00FB0B96">
        <w:rPr>
          <w:rFonts w:ascii="Traditional Arabic" w:eastAsia="Simplified Arabic" w:hAnsi="Traditional Arabic" w:cs="Traditional Arabic"/>
          <w:sz w:val="32"/>
          <w:szCs w:val="32"/>
        </w:rPr>
        <w:tab/>
      </w:r>
      <w:r w:rsidRPr="00FB0B96">
        <w:rPr>
          <w:rFonts w:ascii="Traditional Arabic" w:eastAsia="Simplified Arabic" w:hAnsi="Traditional Arabic" w:cs="Traditional Arabic"/>
          <w:sz w:val="32"/>
          <w:szCs w:val="32"/>
          <w:rtl/>
        </w:rPr>
        <w:t>اعتماد الوسطاء في عمليات البورصة والقواعد المهنية التي تطبق عليهم</w:t>
      </w:r>
      <w:r w:rsidRPr="00FB0B96">
        <w:rPr>
          <w:rFonts w:ascii="Traditional Arabic" w:eastAsia="Simplified Arabic" w:hAnsi="Traditional Arabic" w:cs="Traditional Arabic"/>
          <w:sz w:val="32"/>
          <w:szCs w:val="32"/>
        </w:rPr>
        <w:t>.</w:t>
      </w:r>
    </w:p>
    <w:p w:rsidR="00FB0B96" w:rsidRPr="00FB0B96" w:rsidRDefault="00FB0B96" w:rsidP="00FB0B96">
      <w:pPr>
        <w:tabs>
          <w:tab w:val="left" w:pos="263"/>
        </w:tabs>
        <w:bidi/>
        <w:spacing w:after="0" w:line="240" w:lineRule="auto"/>
        <w:ind w:right="263"/>
        <w:jc w:val="both"/>
        <w:rPr>
          <w:rFonts w:ascii="Traditional Arabic" w:eastAsia="Simplified Arabic" w:hAnsi="Traditional Arabic" w:cs="Traditional Arabic"/>
          <w:sz w:val="32"/>
          <w:szCs w:val="32"/>
          <w:rtl/>
        </w:rPr>
      </w:pPr>
      <w:r w:rsidRPr="00FB0B96">
        <w:rPr>
          <w:rFonts w:ascii="Traditional Arabic" w:eastAsia="Simplified Arabic" w:hAnsi="Traditional Arabic" w:cs="Traditional Arabic"/>
          <w:sz w:val="32"/>
          <w:szCs w:val="32"/>
          <w:rtl/>
        </w:rPr>
        <w:t>-</w:t>
      </w:r>
      <w:r w:rsidRPr="00FB0B96">
        <w:rPr>
          <w:rFonts w:ascii="Traditional Arabic" w:eastAsia="Simplified Arabic" w:hAnsi="Traditional Arabic" w:cs="Traditional Arabic"/>
          <w:sz w:val="32"/>
          <w:szCs w:val="32"/>
          <w:rtl/>
        </w:rPr>
        <w:tab/>
        <w:t>نطاق مسؤولية الوسطاء في عمليات البورصة ومحتواها والضمانات الواجب الوفاء بها اتجاه زبائنه.</w:t>
      </w:r>
    </w:p>
    <w:p w:rsidR="00FB0B96" w:rsidRPr="00FB0B96" w:rsidRDefault="00FB0B96" w:rsidP="00FB0B96">
      <w:pPr>
        <w:numPr>
          <w:ilvl w:val="0"/>
          <w:numId w:val="7"/>
        </w:numPr>
        <w:tabs>
          <w:tab w:val="left" w:pos="321"/>
        </w:tabs>
        <w:bidi/>
        <w:spacing w:after="0" w:line="240" w:lineRule="auto"/>
        <w:ind w:right="6" w:hanging="6"/>
        <w:jc w:val="both"/>
        <w:rPr>
          <w:rFonts w:ascii="Traditional Arabic" w:eastAsia="Simplified Arabic" w:hAnsi="Traditional Arabic" w:cs="Traditional Arabic"/>
          <w:sz w:val="32"/>
          <w:szCs w:val="32"/>
          <w:rtl/>
        </w:rPr>
      </w:pPr>
      <w:r w:rsidRPr="00FB0B96">
        <w:rPr>
          <w:rFonts w:ascii="Traditional Arabic" w:eastAsia="Simplified Arabic" w:hAnsi="Traditional Arabic" w:cs="Traditional Arabic"/>
          <w:sz w:val="32"/>
          <w:szCs w:val="32"/>
          <w:rtl/>
        </w:rPr>
        <w:t xml:space="preserve">الشروط والقواعد التي تحكم العلاقات بين المؤتمن المركزي على السندات والمستفيدون من الخدمات المقدمة من طرفه والمحددة بالمادة </w:t>
      </w:r>
      <w:r w:rsidRPr="00FB0B96">
        <w:rPr>
          <w:rFonts w:ascii="Traditional Arabic" w:eastAsia="Simplified Arabic" w:hAnsi="Traditional Arabic" w:cs="Traditional Arabic"/>
          <w:sz w:val="32"/>
          <w:szCs w:val="32"/>
        </w:rPr>
        <w:t>19</w:t>
      </w:r>
      <w:r w:rsidRPr="00FB0B96">
        <w:rPr>
          <w:rFonts w:ascii="Traditional Arabic" w:eastAsia="Simplified Arabic" w:hAnsi="Traditional Arabic" w:cs="Traditional Arabic"/>
          <w:sz w:val="32"/>
          <w:szCs w:val="32"/>
          <w:rtl/>
        </w:rPr>
        <w:t xml:space="preserve"> مكرر </w:t>
      </w:r>
      <w:r w:rsidRPr="00FB0B96">
        <w:rPr>
          <w:rFonts w:ascii="Traditional Arabic" w:eastAsia="Simplified Arabic" w:hAnsi="Traditional Arabic" w:cs="Traditional Arabic"/>
          <w:sz w:val="32"/>
          <w:szCs w:val="32"/>
        </w:rPr>
        <w:t>2</w:t>
      </w:r>
      <w:r w:rsidRPr="00FB0B96">
        <w:rPr>
          <w:rFonts w:ascii="Traditional Arabic" w:eastAsia="Simplified Arabic" w:hAnsi="Traditional Arabic" w:cs="Traditional Arabic"/>
          <w:sz w:val="32"/>
          <w:szCs w:val="32"/>
          <w:rtl/>
        </w:rPr>
        <w:t xml:space="preserve"> من القانون </w:t>
      </w:r>
      <w:r w:rsidRPr="00FB0B96">
        <w:rPr>
          <w:rFonts w:ascii="Traditional Arabic" w:eastAsia="Simplified Arabic" w:hAnsi="Traditional Arabic" w:cs="Traditional Arabic"/>
          <w:sz w:val="32"/>
          <w:szCs w:val="32"/>
        </w:rPr>
        <w:t>.04/03</w:t>
      </w:r>
    </w:p>
    <w:p w:rsidR="00FB0B96" w:rsidRPr="00FB0B96" w:rsidRDefault="00FB0B96" w:rsidP="00FB0B96">
      <w:pPr>
        <w:numPr>
          <w:ilvl w:val="0"/>
          <w:numId w:val="7"/>
        </w:numPr>
        <w:tabs>
          <w:tab w:val="left" w:pos="266"/>
        </w:tabs>
        <w:bidi/>
        <w:spacing w:after="0" w:line="240" w:lineRule="auto"/>
        <w:ind w:right="266" w:hanging="263"/>
        <w:jc w:val="both"/>
        <w:rPr>
          <w:rFonts w:ascii="Traditional Arabic" w:eastAsia="Simplified Arabic" w:hAnsi="Traditional Arabic" w:cs="Traditional Arabic"/>
          <w:sz w:val="32"/>
          <w:szCs w:val="32"/>
          <w:rtl/>
        </w:rPr>
      </w:pPr>
      <w:r w:rsidRPr="00FB0B96">
        <w:rPr>
          <w:rFonts w:ascii="Traditional Arabic" w:eastAsia="Simplified Arabic" w:hAnsi="Traditional Arabic" w:cs="Traditional Arabic"/>
          <w:sz w:val="32"/>
          <w:szCs w:val="32"/>
          <w:rtl/>
        </w:rPr>
        <w:t>القواعد المتعلقة بحفظ السندات وتسيير وإدارة الحسابات الجارية للسندات.</w:t>
      </w:r>
    </w:p>
    <w:p w:rsidR="00FB0B96" w:rsidRPr="00FB0B96" w:rsidRDefault="00FB0B96" w:rsidP="00FB0B96">
      <w:pPr>
        <w:numPr>
          <w:ilvl w:val="0"/>
          <w:numId w:val="7"/>
        </w:numPr>
        <w:tabs>
          <w:tab w:val="left" w:pos="266"/>
        </w:tabs>
        <w:bidi/>
        <w:spacing w:after="0" w:line="240" w:lineRule="auto"/>
        <w:ind w:right="266" w:hanging="263"/>
        <w:jc w:val="both"/>
        <w:rPr>
          <w:rFonts w:ascii="Traditional Arabic" w:eastAsia="Simplified Arabic" w:hAnsi="Traditional Arabic" w:cs="Traditional Arabic"/>
          <w:sz w:val="32"/>
          <w:szCs w:val="32"/>
          <w:rtl/>
        </w:rPr>
      </w:pPr>
      <w:r w:rsidRPr="00FB0B96">
        <w:rPr>
          <w:rFonts w:ascii="Traditional Arabic" w:eastAsia="Simplified Arabic" w:hAnsi="Traditional Arabic" w:cs="Traditional Arabic"/>
          <w:sz w:val="32"/>
          <w:szCs w:val="32"/>
          <w:rtl/>
        </w:rPr>
        <w:t>القواعد المتعلقة بتسيير نظام التسوية وتسليم السندات.</w:t>
      </w:r>
    </w:p>
    <w:p w:rsidR="00FB0B96" w:rsidRPr="00FB0B96" w:rsidRDefault="00FB0B96" w:rsidP="00FB0B96">
      <w:pPr>
        <w:numPr>
          <w:ilvl w:val="0"/>
          <w:numId w:val="7"/>
        </w:numPr>
        <w:tabs>
          <w:tab w:val="left" w:pos="266"/>
        </w:tabs>
        <w:bidi/>
        <w:spacing w:after="0" w:line="240" w:lineRule="auto"/>
        <w:ind w:right="266" w:hanging="263"/>
        <w:jc w:val="both"/>
        <w:rPr>
          <w:rFonts w:ascii="Traditional Arabic" w:eastAsia="Simplified Arabic" w:hAnsi="Traditional Arabic" w:cs="Traditional Arabic"/>
          <w:sz w:val="32"/>
          <w:szCs w:val="32"/>
        </w:rPr>
      </w:pPr>
      <w:r w:rsidRPr="00FB0B96">
        <w:rPr>
          <w:rFonts w:ascii="Traditional Arabic" w:eastAsia="Simplified Arabic" w:hAnsi="Traditional Arabic" w:cs="Traditional Arabic"/>
          <w:sz w:val="32"/>
          <w:szCs w:val="32"/>
          <w:rtl/>
        </w:rPr>
        <w:t>شروط التأهيل وممارسة نشاط حفظ وإدارة السندات.</w:t>
      </w:r>
    </w:p>
    <w:p w:rsidR="00FB0B96" w:rsidRPr="00FB0B96" w:rsidRDefault="00FB0B96" w:rsidP="00FB0B96">
      <w:pPr>
        <w:bidi/>
        <w:spacing w:after="0" w:line="240" w:lineRule="auto"/>
        <w:ind w:left="100" w:right="6" w:firstLine="4"/>
        <w:jc w:val="both"/>
        <w:rPr>
          <w:rFonts w:ascii="Traditional Arabic" w:eastAsia="Simplified Arabic" w:hAnsi="Traditional Arabic" w:cs="Traditional Arabic"/>
          <w:sz w:val="32"/>
          <w:szCs w:val="32"/>
          <w:rtl/>
        </w:rPr>
      </w:pPr>
      <w:r w:rsidRPr="00FB0B96">
        <w:rPr>
          <w:rFonts w:ascii="Traditional Arabic" w:eastAsia="Simplified Arabic" w:hAnsi="Traditional Arabic" w:cs="Traditional Arabic"/>
          <w:sz w:val="32"/>
          <w:szCs w:val="32"/>
          <w:rtl/>
        </w:rPr>
        <w:t>تصدر اللجنة هذه التقنيات في شكل لوائح أو تنظيمات تتم الموافقة عليها بموجب قرار يصدر من وزير المالية ثم تنشر في الجريدة الرسمية للجمهورية الجزائرية الديمقراطية الشعبية.</w:t>
      </w:r>
    </w:p>
    <w:p w:rsidR="00FB0B96" w:rsidRPr="00FB0B96" w:rsidRDefault="00FB0B96" w:rsidP="00FB0B96">
      <w:pPr>
        <w:bidi/>
        <w:spacing w:after="0" w:line="240" w:lineRule="auto"/>
        <w:ind w:right="726"/>
        <w:jc w:val="both"/>
        <w:rPr>
          <w:rFonts w:ascii="Traditional Arabic" w:eastAsia="Simplified Arabic" w:hAnsi="Traditional Arabic" w:cs="Traditional Arabic"/>
          <w:sz w:val="32"/>
          <w:szCs w:val="32"/>
        </w:rPr>
      </w:pPr>
      <w:r w:rsidRPr="00FB0B96">
        <w:rPr>
          <w:rFonts w:ascii="Traditional Arabic" w:eastAsia="Simplified Arabic" w:hAnsi="Traditional Arabic" w:cs="Traditional Arabic"/>
          <w:sz w:val="32"/>
          <w:szCs w:val="32"/>
          <w:rtl/>
        </w:rPr>
        <w:t>وفي إطار نشاطها هذا عملت اللجنة على إعداد الأنظمة التالية:</w:t>
      </w:r>
    </w:p>
    <w:p w:rsidR="00FB0B96" w:rsidRPr="00FB0B96" w:rsidRDefault="00FB0B96" w:rsidP="00FB0B96">
      <w:pPr>
        <w:numPr>
          <w:ilvl w:val="0"/>
          <w:numId w:val="8"/>
        </w:numPr>
        <w:tabs>
          <w:tab w:val="left" w:pos="287"/>
        </w:tabs>
        <w:bidi/>
        <w:spacing w:after="0" w:line="240" w:lineRule="auto"/>
        <w:ind w:left="120" w:right="6" w:hanging="3"/>
        <w:jc w:val="both"/>
        <w:rPr>
          <w:rFonts w:ascii="Traditional Arabic" w:eastAsia="Simplified Arabic" w:hAnsi="Traditional Arabic" w:cs="Traditional Arabic"/>
          <w:sz w:val="32"/>
          <w:szCs w:val="32"/>
          <w:rtl/>
        </w:rPr>
      </w:pPr>
      <w:r w:rsidRPr="00FB0B96">
        <w:rPr>
          <w:rFonts w:ascii="Traditional Arabic" w:eastAsia="Simplified Arabic" w:hAnsi="Traditional Arabic" w:cs="Traditional Arabic"/>
          <w:sz w:val="32"/>
          <w:szCs w:val="32"/>
          <w:rtl/>
        </w:rPr>
        <w:t xml:space="preserve">النظام رقم </w:t>
      </w:r>
      <w:r w:rsidRPr="00FB0B96">
        <w:rPr>
          <w:rFonts w:ascii="Traditional Arabic" w:eastAsia="Simplified Arabic" w:hAnsi="Traditional Arabic" w:cs="Traditional Arabic"/>
          <w:sz w:val="32"/>
          <w:szCs w:val="32"/>
        </w:rPr>
        <w:t>01/97</w:t>
      </w:r>
      <w:r w:rsidRPr="00FB0B96">
        <w:rPr>
          <w:rFonts w:ascii="Traditional Arabic" w:eastAsia="Simplified Arabic" w:hAnsi="Traditional Arabic" w:cs="Traditional Arabic"/>
          <w:sz w:val="32"/>
          <w:szCs w:val="32"/>
          <w:rtl/>
        </w:rPr>
        <w:t xml:space="preserve"> المرتبط بمساهمة الوسطاء في عمليات البورصة في رأس مال شركة إدارة بورصة القيم المتداولة.</w:t>
      </w:r>
    </w:p>
    <w:p w:rsidR="00FB0B96" w:rsidRPr="00FB0B96" w:rsidRDefault="00FB0B96" w:rsidP="00FB0B96">
      <w:pPr>
        <w:numPr>
          <w:ilvl w:val="0"/>
          <w:numId w:val="8"/>
        </w:numPr>
        <w:tabs>
          <w:tab w:val="left" w:pos="266"/>
        </w:tabs>
        <w:bidi/>
        <w:spacing w:after="0" w:line="240" w:lineRule="auto"/>
        <w:ind w:right="266" w:hanging="263"/>
        <w:jc w:val="both"/>
        <w:rPr>
          <w:rFonts w:ascii="Traditional Arabic" w:eastAsia="Simplified Arabic" w:hAnsi="Traditional Arabic" w:cs="Traditional Arabic"/>
          <w:sz w:val="32"/>
          <w:szCs w:val="32"/>
          <w:rtl/>
        </w:rPr>
      </w:pPr>
      <w:r w:rsidRPr="00FB0B96">
        <w:rPr>
          <w:rFonts w:ascii="Traditional Arabic" w:eastAsia="Simplified Arabic" w:hAnsi="Traditional Arabic" w:cs="Traditional Arabic"/>
          <w:sz w:val="32"/>
          <w:szCs w:val="32"/>
          <w:rtl/>
        </w:rPr>
        <w:t xml:space="preserve">النظام رقم </w:t>
      </w:r>
      <w:r w:rsidRPr="00FB0B96">
        <w:rPr>
          <w:rFonts w:ascii="Traditional Arabic" w:eastAsia="Simplified Arabic" w:hAnsi="Traditional Arabic" w:cs="Traditional Arabic"/>
          <w:sz w:val="32"/>
          <w:szCs w:val="32"/>
        </w:rPr>
        <w:t>03/97</w:t>
      </w:r>
      <w:r w:rsidRPr="00FB0B96">
        <w:rPr>
          <w:rFonts w:ascii="Traditional Arabic" w:eastAsia="Simplified Arabic" w:hAnsi="Traditional Arabic" w:cs="Traditional Arabic"/>
          <w:sz w:val="32"/>
          <w:szCs w:val="32"/>
          <w:rtl/>
        </w:rPr>
        <w:t xml:space="preserve"> المتعلق بسير بورصة الأوراق المالية.</w:t>
      </w:r>
    </w:p>
    <w:p w:rsidR="00FB0B96" w:rsidRPr="00FB0B96" w:rsidRDefault="00FB0B96" w:rsidP="00FB0B96">
      <w:pPr>
        <w:numPr>
          <w:ilvl w:val="0"/>
          <w:numId w:val="8"/>
        </w:numPr>
        <w:tabs>
          <w:tab w:val="left" w:pos="266"/>
        </w:tabs>
        <w:bidi/>
        <w:spacing w:after="0" w:line="240" w:lineRule="auto"/>
        <w:ind w:right="266" w:hanging="263"/>
        <w:jc w:val="both"/>
        <w:rPr>
          <w:rFonts w:ascii="Traditional Arabic" w:eastAsia="Simplified Arabic" w:hAnsi="Traditional Arabic" w:cs="Traditional Arabic"/>
          <w:sz w:val="32"/>
          <w:szCs w:val="32"/>
        </w:rPr>
      </w:pPr>
      <w:r w:rsidRPr="00FB0B96">
        <w:rPr>
          <w:rFonts w:ascii="Traditional Arabic" w:eastAsia="Simplified Arabic" w:hAnsi="Traditional Arabic" w:cs="Traditional Arabic"/>
          <w:sz w:val="32"/>
          <w:szCs w:val="32"/>
          <w:rtl/>
        </w:rPr>
        <w:t xml:space="preserve">النظام رقم </w:t>
      </w:r>
      <w:r w:rsidRPr="00FB0B96">
        <w:rPr>
          <w:rFonts w:ascii="Traditional Arabic" w:eastAsia="Simplified Arabic" w:hAnsi="Traditional Arabic" w:cs="Traditional Arabic"/>
          <w:sz w:val="32"/>
          <w:szCs w:val="32"/>
        </w:rPr>
        <w:t>04/97</w:t>
      </w:r>
      <w:r w:rsidRPr="00FB0B96">
        <w:rPr>
          <w:rFonts w:ascii="Traditional Arabic" w:eastAsia="Simplified Arabic" w:hAnsi="Traditional Arabic" w:cs="Traditional Arabic"/>
          <w:sz w:val="32"/>
          <w:szCs w:val="32"/>
          <w:rtl/>
        </w:rPr>
        <w:t xml:space="preserve"> الخاص بهيئات التوظيف الجماعي في القيم المنقولة.</w:t>
      </w:r>
    </w:p>
    <w:p w:rsidR="00FB0B96" w:rsidRPr="00FB0B96" w:rsidRDefault="00FB0B96" w:rsidP="00FB0B96">
      <w:pPr>
        <w:numPr>
          <w:ilvl w:val="0"/>
          <w:numId w:val="8"/>
        </w:numPr>
        <w:tabs>
          <w:tab w:val="left" w:pos="266"/>
        </w:tabs>
        <w:bidi/>
        <w:spacing w:after="0" w:line="240" w:lineRule="auto"/>
        <w:ind w:right="266" w:hanging="263"/>
        <w:jc w:val="both"/>
        <w:rPr>
          <w:rFonts w:ascii="Traditional Arabic" w:eastAsia="Simplified Arabic" w:hAnsi="Traditional Arabic" w:cs="Traditional Arabic"/>
          <w:sz w:val="32"/>
          <w:szCs w:val="32"/>
        </w:rPr>
      </w:pPr>
      <w:r w:rsidRPr="00FB0B96">
        <w:rPr>
          <w:rFonts w:ascii="Traditional Arabic" w:eastAsia="Simplified Arabic" w:hAnsi="Traditional Arabic" w:cs="Traditional Arabic"/>
          <w:sz w:val="32"/>
          <w:szCs w:val="32"/>
          <w:rtl/>
        </w:rPr>
        <w:t xml:space="preserve">النظام رقم </w:t>
      </w:r>
      <w:r w:rsidRPr="00FB0B96">
        <w:rPr>
          <w:rFonts w:ascii="Traditional Arabic" w:eastAsia="Simplified Arabic" w:hAnsi="Traditional Arabic" w:cs="Traditional Arabic"/>
          <w:sz w:val="32"/>
          <w:szCs w:val="32"/>
        </w:rPr>
        <w:t>05/97</w:t>
      </w:r>
      <w:r w:rsidRPr="00FB0B96">
        <w:rPr>
          <w:rFonts w:ascii="Traditional Arabic" w:eastAsia="Simplified Arabic" w:hAnsi="Traditional Arabic" w:cs="Traditional Arabic"/>
          <w:sz w:val="32"/>
          <w:szCs w:val="32"/>
          <w:rtl/>
        </w:rPr>
        <w:t xml:space="preserve"> المرتبط باتفاقيات الحساب بين الوسطاء في العمليات البورصية وعملائهم. كما أعدت في نفس هذا الإطار التعليمة رقم </w:t>
      </w:r>
      <w:r w:rsidRPr="00FB0B96">
        <w:rPr>
          <w:rFonts w:ascii="Traditional Arabic" w:eastAsia="Simplified Arabic" w:hAnsi="Traditional Arabic" w:cs="Traditional Arabic"/>
          <w:sz w:val="32"/>
          <w:szCs w:val="32"/>
        </w:rPr>
        <w:t>97/01</w:t>
      </w:r>
      <w:r w:rsidRPr="00FB0B96">
        <w:rPr>
          <w:rFonts w:ascii="Traditional Arabic" w:eastAsia="Simplified Arabic" w:hAnsi="Traditional Arabic" w:cs="Traditional Arabic"/>
          <w:sz w:val="32"/>
          <w:szCs w:val="32"/>
          <w:rtl/>
        </w:rPr>
        <w:t xml:space="preserve"> المؤرخة </w:t>
      </w:r>
      <w:r w:rsidRPr="00FB0B96">
        <w:rPr>
          <w:rFonts w:ascii="Traditional Arabic" w:eastAsia="Simplified Arabic" w:hAnsi="Traditional Arabic" w:cs="Traditional Arabic"/>
          <w:sz w:val="32"/>
          <w:szCs w:val="32"/>
        </w:rPr>
        <w:t>1997/11/31</w:t>
      </w:r>
      <w:r w:rsidRPr="00FB0B96">
        <w:rPr>
          <w:rFonts w:ascii="Traditional Arabic" w:eastAsia="Simplified Arabic" w:hAnsi="Traditional Arabic" w:cs="Traditional Arabic"/>
          <w:sz w:val="32"/>
          <w:szCs w:val="32"/>
          <w:rtl/>
        </w:rPr>
        <w:t xml:space="preserve"> المحددة لكيفيات اعتماد الوسطاء في العمليات البورصية.</w:t>
      </w:r>
    </w:p>
    <w:p w:rsidR="00FB0B96" w:rsidRPr="00FB0B96" w:rsidRDefault="00FB0B96" w:rsidP="00FB0B96">
      <w:pPr>
        <w:bidi/>
        <w:spacing w:after="0" w:line="240" w:lineRule="auto"/>
        <w:ind w:left="120" w:right="6" w:firstLine="719"/>
        <w:jc w:val="both"/>
        <w:rPr>
          <w:rFonts w:ascii="Traditional Arabic" w:eastAsia="Simplified Arabic" w:hAnsi="Traditional Arabic" w:cs="Traditional Arabic"/>
          <w:sz w:val="32"/>
          <w:szCs w:val="32"/>
        </w:rPr>
      </w:pPr>
      <w:r w:rsidRPr="00FB0B96">
        <w:rPr>
          <w:rFonts w:ascii="Traditional Arabic" w:eastAsia="Simplified Arabic" w:hAnsi="Traditional Arabic" w:cs="Traditional Arabic"/>
          <w:sz w:val="32"/>
          <w:szCs w:val="32"/>
          <w:rtl/>
        </w:rPr>
        <w:t>كما يمكن للجنة وفي اطار وظيفتها القانونية أن تقدم للحكومة مقترحات نصوص تشريعية وتنظيمية تخص:</w:t>
      </w:r>
    </w:p>
    <w:p w:rsidR="00FB0B96" w:rsidRPr="00FB0B96" w:rsidRDefault="00FB0B96" w:rsidP="00FB0B96">
      <w:pPr>
        <w:numPr>
          <w:ilvl w:val="0"/>
          <w:numId w:val="9"/>
        </w:numPr>
        <w:tabs>
          <w:tab w:val="left" w:pos="266"/>
        </w:tabs>
        <w:bidi/>
        <w:spacing w:after="0" w:line="240" w:lineRule="auto"/>
        <w:ind w:right="266" w:hanging="263"/>
        <w:jc w:val="both"/>
        <w:rPr>
          <w:rFonts w:ascii="Traditional Arabic" w:eastAsia="Simplified Arabic" w:hAnsi="Traditional Arabic" w:cs="Traditional Arabic"/>
          <w:sz w:val="32"/>
          <w:szCs w:val="32"/>
          <w:rtl/>
        </w:rPr>
      </w:pPr>
      <w:r w:rsidRPr="00FB0B96">
        <w:rPr>
          <w:rFonts w:ascii="Traditional Arabic" w:eastAsia="Simplified Arabic" w:hAnsi="Traditional Arabic" w:cs="Traditional Arabic"/>
          <w:sz w:val="32"/>
          <w:szCs w:val="32"/>
          <w:rtl/>
        </w:rPr>
        <w:t>إعلام حاملي القيم المنقولة والجمهور.</w:t>
      </w:r>
    </w:p>
    <w:p w:rsidR="00FB0B96" w:rsidRPr="00FB0B96" w:rsidRDefault="00FB0B96" w:rsidP="00FB0B96">
      <w:pPr>
        <w:numPr>
          <w:ilvl w:val="0"/>
          <w:numId w:val="9"/>
        </w:numPr>
        <w:tabs>
          <w:tab w:val="left" w:pos="266"/>
        </w:tabs>
        <w:bidi/>
        <w:spacing w:after="0" w:line="240" w:lineRule="auto"/>
        <w:ind w:right="266" w:hanging="263"/>
        <w:jc w:val="both"/>
        <w:rPr>
          <w:rFonts w:ascii="Traditional Arabic" w:eastAsia="Simplified Arabic" w:hAnsi="Traditional Arabic" w:cs="Traditional Arabic"/>
          <w:sz w:val="32"/>
          <w:szCs w:val="32"/>
          <w:rtl/>
        </w:rPr>
      </w:pPr>
      <w:r w:rsidRPr="00FB0B96">
        <w:rPr>
          <w:rFonts w:ascii="Traditional Arabic" w:eastAsia="Simplified Arabic" w:hAnsi="Traditional Arabic" w:cs="Traditional Arabic"/>
          <w:sz w:val="32"/>
          <w:szCs w:val="32"/>
          <w:rtl/>
        </w:rPr>
        <w:t>تنظيم بورصة القيم المنقولة وسيرها.</w:t>
      </w:r>
    </w:p>
    <w:p w:rsidR="00FB0B96" w:rsidRPr="00FB0B96" w:rsidRDefault="00FB0B96" w:rsidP="00FB0B96">
      <w:pPr>
        <w:numPr>
          <w:ilvl w:val="0"/>
          <w:numId w:val="9"/>
        </w:numPr>
        <w:tabs>
          <w:tab w:val="left" w:pos="266"/>
        </w:tabs>
        <w:bidi/>
        <w:spacing w:after="0" w:line="240" w:lineRule="auto"/>
        <w:ind w:right="266" w:hanging="263"/>
        <w:jc w:val="both"/>
        <w:rPr>
          <w:rFonts w:ascii="Traditional Arabic" w:eastAsia="Simplified Arabic" w:hAnsi="Traditional Arabic" w:cs="Traditional Arabic"/>
          <w:sz w:val="32"/>
          <w:szCs w:val="32"/>
        </w:rPr>
      </w:pPr>
      <w:r w:rsidRPr="00FB0B96">
        <w:rPr>
          <w:rFonts w:ascii="Traditional Arabic" w:eastAsia="Simplified Arabic" w:hAnsi="Traditional Arabic" w:cs="Traditional Arabic"/>
          <w:sz w:val="32"/>
          <w:szCs w:val="32"/>
          <w:rtl/>
        </w:rPr>
        <w:t>الوضعية القانونية للوسطاء في عمليات البورصة.</w:t>
      </w:r>
    </w:p>
    <w:p w:rsidR="00FB0B96" w:rsidRPr="00FB0B96" w:rsidRDefault="00FB0B96" w:rsidP="00FB0B96">
      <w:pPr>
        <w:bidi/>
        <w:spacing w:after="0" w:line="240" w:lineRule="auto"/>
        <w:ind w:right="6" w:hanging="2"/>
        <w:jc w:val="both"/>
        <w:rPr>
          <w:rFonts w:ascii="Traditional Arabic" w:eastAsia="Simplified Arabic" w:hAnsi="Traditional Arabic" w:cs="Traditional Arabic"/>
          <w:sz w:val="32"/>
          <w:szCs w:val="32"/>
          <w:rtl/>
        </w:rPr>
      </w:pPr>
      <w:r w:rsidRPr="00FB0B96">
        <w:rPr>
          <w:rFonts w:ascii="Traditional Arabic" w:eastAsia="Simplified Arabic" w:hAnsi="Traditional Arabic" w:cs="Traditional Arabic"/>
          <w:bCs/>
          <w:sz w:val="32"/>
          <w:szCs w:val="32"/>
          <w:rtl/>
        </w:rPr>
        <w:t>ب- وظيفة المراقبة والرقابة:</w:t>
      </w:r>
      <w:r w:rsidRPr="00FB0B96">
        <w:rPr>
          <w:rFonts w:ascii="Traditional Arabic" w:eastAsia="Simplified Arabic" w:hAnsi="Traditional Arabic" w:cs="Traditional Arabic"/>
          <w:b/>
          <w:sz w:val="32"/>
          <w:szCs w:val="32"/>
          <w:rtl/>
        </w:rPr>
        <w:t xml:space="preserve"> </w:t>
      </w:r>
      <w:r w:rsidRPr="00FB0B96">
        <w:rPr>
          <w:rFonts w:ascii="Traditional Arabic" w:eastAsia="Simplified Arabic" w:hAnsi="Traditional Arabic" w:cs="Traditional Arabic"/>
          <w:sz w:val="32"/>
          <w:szCs w:val="32"/>
          <w:rtl/>
        </w:rPr>
        <w:t>نصت على هذه الوظيفة المواد من</w:t>
      </w:r>
      <w:r w:rsidRPr="00FB0B96">
        <w:rPr>
          <w:rFonts w:ascii="Traditional Arabic" w:eastAsia="Simplified Arabic" w:hAnsi="Traditional Arabic" w:cs="Traditional Arabic"/>
          <w:b/>
          <w:sz w:val="32"/>
          <w:szCs w:val="32"/>
          <w:rtl/>
        </w:rPr>
        <w:t xml:space="preserve"> </w:t>
      </w:r>
      <w:r w:rsidRPr="00FB0B96">
        <w:rPr>
          <w:rFonts w:ascii="Traditional Arabic" w:eastAsia="Simplified Arabic" w:hAnsi="Traditional Arabic" w:cs="Traditional Arabic"/>
          <w:sz w:val="32"/>
          <w:szCs w:val="32"/>
        </w:rPr>
        <w:t>35</w:t>
      </w:r>
      <w:r w:rsidRPr="00FB0B96">
        <w:rPr>
          <w:rFonts w:ascii="Traditional Arabic" w:eastAsia="Simplified Arabic" w:hAnsi="Traditional Arabic" w:cs="Traditional Arabic"/>
          <w:b/>
          <w:sz w:val="32"/>
          <w:szCs w:val="32"/>
          <w:rtl/>
        </w:rPr>
        <w:t xml:space="preserve"> </w:t>
      </w:r>
      <w:r w:rsidRPr="00FB0B96">
        <w:rPr>
          <w:rFonts w:ascii="Traditional Arabic" w:eastAsia="Simplified Arabic" w:hAnsi="Traditional Arabic" w:cs="Traditional Arabic"/>
          <w:sz w:val="32"/>
          <w:szCs w:val="32"/>
          <w:rtl/>
        </w:rPr>
        <w:t>الى</w:t>
      </w:r>
      <w:r w:rsidRPr="00FB0B96">
        <w:rPr>
          <w:rFonts w:ascii="Traditional Arabic" w:eastAsia="Simplified Arabic" w:hAnsi="Traditional Arabic" w:cs="Traditional Arabic"/>
          <w:b/>
          <w:sz w:val="32"/>
          <w:szCs w:val="32"/>
          <w:rtl/>
        </w:rPr>
        <w:t xml:space="preserve"> </w:t>
      </w:r>
      <w:r w:rsidRPr="00FB0B96">
        <w:rPr>
          <w:rFonts w:ascii="Traditional Arabic" w:eastAsia="Simplified Arabic" w:hAnsi="Traditional Arabic" w:cs="Traditional Arabic"/>
          <w:sz w:val="32"/>
          <w:szCs w:val="32"/>
        </w:rPr>
        <w:t>50</w:t>
      </w:r>
      <w:r w:rsidRPr="00FB0B96">
        <w:rPr>
          <w:rFonts w:ascii="Traditional Arabic" w:eastAsia="Simplified Arabic" w:hAnsi="Traditional Arabic" w:cs="Traditional Arabic"/>
          <w:b/>
          <w:sz w:val="32"/>
          <w:szCs w:val="32"/>
          <w:rtl/>
        </w:rPr>
        <w:t xml:space="preserve"> </w:t>
      </w:r>
      <w:r w:rsidRPr="00FB0B96">
        <w:rPr>
          <w:rFonts w:ascii="Traditional Arabic" w:eastAsia="Simplified Arabic" w:hAnsi="Traditional Arabic" w:cs="Traditional Arabic"/>
          <w:sz w:val="32"/>
          <w:szCs w:val="32"/>
          <w:rtl/>
        </w:rPr>
        <w:t>من المرسوم</w:t>
      </w:r>
      <w:r w:rsidRPr="00FB0B96">
        <w:rPr>
          <w:rFonts w:ascii="Traditional Arabic" w:eastAsia="Simplified Arabic" w:hAnsi="Traditional Arabic" w:cs="Traditional Arabic"/>
          <w:b/>
          <w:sz w:val="32"/>
          <w:szCs w:val="32"/>
          <w:rtl/>
        </w:rPr>
        <w:t xml:space="preserve"> </w:t>
      </w:r>
      <w:r w:rsidRPr="00FB0B96">
        <w:rPr>
          <w:rFonts w:ascii="Traditional Arabic" w:eastAsia="Simplified Arabic" w:hAnsi="Traditional Arabic" w:cs="Traditional Arabic"/>
          <w:sz w:val="32"/>
          <w:szCs w:val="32"/>
          <w:rtl/>
        </w:rPr>
        <w:t xml:space="preserve">التشريعي </w:t>
      </w:r>
      <w:r w:rsidRPr="00FB0B96">
        <w:rPr>
          <w:rFonts w:ascii="Traditional Arabic" w:eastAsia="Simplified Arabic" w:hAnsi="Traditional Arabic" w:cs="Traditional Arabic"/>
          <w:sz w:val="32"/>
          <w:szCs w:val="32"/>
        </w:rPr>
        <w:t>10-93</w:t>
      </w:r>
      <w:r w:rsidRPr="00FB0B96">
        <w:rPr>
          <w:rFonts w:ascii="Traditional Arabic" w:eastAsia="Simplified Arabic" w:hAnsi="Traditional Arabic" w:cs="Traditional Arabic"/>
          <w:sz w:val="32"/>
          <w:szCs w:val="32"/>
          <w:rtl/>
        </w:rPr>
        <w:t xml:space="preserve"> والمواد </w:t>
      </w:r>
      <w:r w:rsidRPr="00FB0B96">
        <w:rPr>
          <w:rFonts w:ascii="Traditional Arabic" w:eastAsia="Simplified Arabic" w:hAnsi="Traditional Arabic" w:cs="Traditional Arabic"/>
          <w:sz w:val="32"/>
          <w:szCs w:val="32"/>
        </w:rPr>
        <w:t>16</w:t>
      </w:r>
      <w:r w:rsidRPr="00FB0B96">
        <w:rPr>
          <w:rFonts w:ascii="Traditional Arabic" w:eastAsia="Simplified Arabic" w:hAnsi="Traditional Arabic" w:cs="Traditional Arabic"/>
          <w:sz w:val="32"/>
          <w:szCs w:val="32"/>
          <w:rtl/>
        </w:rPr>
        <w:t xml:space="preserve"> و</w:t>
      </w:r>
      <w:r w:rsidRPr="00FB0B96">
        <w:rPr>
          <w:rFonts w:ascii="Traditional Arabic" w:eastAsia="Simplified Arabic" w:hAnsi="Traditional Arabic" w:cs="Traditional Arabic"/>
          <w:sz w:val="32"/>
          <w:szCs w:val="32"/>
        </w:rPr>
        <w:t>17</w:t>
      </w:r>
      <w:r w:rsidRPr="00FB0B96">
        <w:rPr>
          <w:rFonts w:ascii="Traditional Arabic" w:eastAsia="Simplified Arabic" w:hAnsi="Traditional Arabic" w:cs="Traditional Arabic"/>
          <w:sz w:val="32"/>
          <w:szCs w:val="32"/>
          <w:rtl/>
        </w:rPr>
        <w:t xml:space="preserve"> من القانون </w:t>
      </w:r>
      <w:r w:rsidRPr="00FB0B96">
        <w:rPr>
          <w:rFonts w:ascii="Traditional Arabic" w:eastAsia="Simplified Arabic" w:hAnsi="Traditional Arabic" w:cs="Traditional Arabic"/>
          <w:sz w:val="32"/>
          <w:szCs w:val="32"/>
        </w:rPr>
        <w:t>04-03</w:t>
      </w:r>
      <w:r w:rsidRPr="00FB0B96">
        <w:rPr>
          <w:rFonts w:ascii="Traditional Arabic" w:eastAsia="Simplified Arabic" w:hAnsi="Traditional Arabic" w:cs="Traditional Arabic"/>
          <w:sz w:val="32"/>
          <w:szCs w:val="32"/>
          <w:rtl/>
        </w:rPr>
        <w:t xml:space="preserve"> المعدلتين للمادة </w:t>
      </w:r>
      <w:r w:rsidRPr="00FB0B96">
        <w:rPr>
          <w:rFonts w:ascii="Traditional Arabic" w:eastAsia="Simplified Arabic" w:hAnsi="Traditional Arabic" w:cs="Traditional Arabic"/>
          <w:sz w:val="32"/>
          <w:szCs w:val="32"/>
        </w:rPr>
        <w:t>41</w:t>
      </w:r>
      <w:r w:rsidRPr="00FB0B96">
        <w:rPr>
          <w:rFonts w:ascii="Traditional Arabic" w:eastAsia="Simplified Arabic" w:hAnsi="Traditional Arabic" w:cs="Traditional Arabic"/>
          <w:sz w:val="32"/>
          <w:szCs w:val="32"/>
          <w:rtl/>
        </w:rPr>
        <w:t xml:space="preserve"> و</w:t>
      </w:r>
      <w:r w:rsidRPr="00FB0B96">
        <w:rPr>
          <w:rFonts w:ascii="Traditional Arabic" w:eastAsia="Simplified Arabic" w:hAnsi="Traditional Arabic" w:cs="Traditional Arabic"/>
          <w:sz w:val="32"/>
          <w:szCs w:val="32"/>
        </w:rPr>
        <w:t>43</w:t>
      </w:r>
      <w:r w:rsidRPr="00FB0B96">
        <w:rPr>
          <w:rFonts w:ascii="Traditional Arabic" w:eastAsia="Simplified Arabic" w:hAnsi="Traditional Arabic" w:cs="Traditional Arabic"/>
          <w:sz w:val="32"/>
          <w:szCs w:val="32"/>
          <w:rtl/>
        </w:rPr>
        <w:t xml:space="preserve"> من المرسوم التشريعي </w:t>
      </w:r>
      <w:r w:rsidRPr="00FB0B96">
        <w:rPr>
          <w:rFonts w:ascii="Traditional Arabic" w:eastAsia="Simplified Arabic" w:hAnsi="Traditional Arabic" w:cs="Traditional Arabic"/>
          <w:sz w:val="32"/>
          <w:szCs w:val="32"/>
        </w:rPr>
        <w:t>10-93</w:t>
      </w:r>
      <w:r w:rsidRPr="00FB0B96">
        <w:rPr>
          <w:rFonts w:ascii="Traditional Arabic" w:eastAsia="Simplified Arabic" w:hAnsi="Traditional Arabic" w:cs="Traditional Arabic"/>
          <w:sz w:val="32"/>
          <w:szCs w:val="32"/>
          <w:rtl/>
        </w:rPr>
        <w:t>، هذه السلطة تسمح للجنة من القيام بأعمال الرقابة التالية:</w:t>
      </w:r>
    </w:p>
    <w:p w:rsidR="00FB0B96" w:rsidRPr="00FB0B96" w:rsidRDefault="00FB0B96" w:rsidP="00FB0B96">
      <w:pPr>
        <w:bidi/>
        <w:spacing w:after="0" w:line="240" w:lineRule="auto"/>
        <w:jc w:val="both"/>
        <w:rPr>
          <w:rFonts w:ascii="Traditional Arabic" w:eastAsia="Simplified Arabic" w:hAnsi="Traditional Arabic" w:cs="Traditional Arabic"/>
          <w:sz w:val="32"/>
          <w:szCs w:val="32"/>
          <w:rtl/>
        </w:rPr>
      </w:pPr>
      <w:r w:rsidRPr="00FB0B96">
        <w:rPr>
          <w:rFonts w:ascii="Traditional Arabic" w:eastAsia="Times New Roman" w:hAnsi="Traditional Arabic" w:cs="Traditional Arabic"/>
          <w:sz w:val="32"/>
          <w:szCs w:val="32"/>
          <w:rtl/>
        </w:rPr>
        <w:t xml:space="preserve">   -   </w:t>
      </w:r>
      <w:r w:rsidRPr="00FB0B96">
        <w:rPr>
          <w:rFonts w:ascii="Traditional Arabic" w:eastAsia="Simplified Arabic" w:hAnsi="Traditional Arabic" w:cs="Traditional Arabic"/>
          <w:sz w:val="32"/>
          <w:szCs w:val="32"/>
          <w:rtl/>
        </w:rPr>
        <w:t>يلتزم أعضاء لجنة تنظيم ومراقبة عمليات البورصة وأعوانها بالسهر على تناسق قواعد سوق القيم المتداولة مع مختلف النصوص القانونية والتشريعية التي تحكم السوق وذلك بالإطلاع على جميع الأعمال التنظيمية قصد مراقبتها، وكذا ضمان تنفيذها طبقا للأحكام التشريعية.</w:t>
      </w:r>
    </w:p>
    <w:p w:rsidR="00FB0B96" w:rsidRPr="00FB0B96" w:rsidRDefault="00FB0B96" w:rsidP="00FB0B96">
      <w:pPr>
        <w:bidi/>
        <w:spacing w:after="0" w:line="240" w:lineRule="auto"/>
        <w:ind w:firstLine="3"/>
        <w:jc w:val="both"/>
        <w:rPr>
          <w:rFonts w:ascii="Traditional Arabic" w:eastAsia="Simplified Arabic" w:hAnsi="Traditional Arabic" w:cs="Traditional Arabic"/>
          <w:sz w:val="32"/>
          <w:szCs w:val="32"/>
          <w:vertAlign w:val="superscript"/>
          <w:rtl/>
          <w:lang w:bidi="ar-DZ"/>
        </w:rPr>
      </w:pPr>
      <w:r w:rsidRPr="00FB0B96">
        <w:rPr>
          <w:rFonts w:ascii="Traditional Arabic" w:eastAsia="Simplified Arabic" w:hAnsi="Traditional Arabic" w:cs="Traditional Arabic"/>
          <w:sz w:val="32"/>
          <w:szCs w:val="32"/>
          <w:rtl/>
        </w:rPr>
        <w:lastRenderedPageBreak/>
        <w:t>- التأكد من أن الشركات المقبول تداول قيمها المنقولة في بورصة الجزائر تتقيد بالأحكام التشريعية والتنظيمية السارية عليها لاسيما في مجال القيم المنقولة، وعقد الجمعيات العامة، وتشكيلة أجهزة الإدارة والرقابة على عمليات النشر القانونية.</w:t>
      </w:r>
    </w:p>
    <w:p w:rsidR="00FB0B96" w:rsidRPr="00FB0B96" w:rsidRDefault="00FB0B96" w:rsidP="00FB0B96">
      <w:pPr>
        <w:bidi/>
        <w:spacing w:after="0" w:line="240" w:lineRule="auto"/>
        <w:ind w:firstLine="731"/>
        <w:jc w:val="both"/>
        <w:rPr>
          <w:rFonts w:ascii="Traditional Arabic" w:eastAsia="Simplified Arabic" w:hAnsi="Traditional Arabic" w:cs="Traditional Arabic"/>
          <w:sz w:val="32"/>
          <w:szCs w:val="32"/>
          <w:vertAlign w:val="superscript"/>
          <w:rtl/>
          <w:lang w:bidi="ar-DZ"/>
        </w:rPr>
      </w:pPr>
      <w:r w:rsidRPr="00FB0B96">
        <w:rPr>
          <w:rFonts w:ascii="Traditional Arabic" w:eastAsia="Simplified Arabic" w:hAnsi="Traditional Arabic" w:cs="Traditional Arabic"/>
          <w:sz w:val="32"/>
          <w:szCs w:val="32"/>
          <w:rtl/>
        </w:rPr>
        <w:t>كما لها أن تأمر الشركات عند الاقتضاء بنشر استدراكات فيما اذا لاحظت حالات سهو في الوثائق المنشورة أو المقدمة لها. كما لها نشر الملاحظات أو المعلومات التي يمكن للجنة أن تسجلها أو أي اعالم اخر قد يهم الجمهور في النشرة الرسمية للتسعيرة أو في أي أداة إعلامية أخرى</w:t>
      </w:r>
      <w:r w:rsidRPr="00FB0B96">
        <w:rPr>
          <w:rFonts w:ascii="Traditional Arabic" w:eastAsia="Simplified Arabic" w:hAnsi="Traditional Arabic" w:cs="Traditional Arabic"/>
          <w:sz w:val="32"/>
          <w:szCs w:val="32"/>
        </w:rPr>
        <w:t>.</w:t>
      </w:r>
    </w:p>
    <w:p w:rsidR="00FB0B96" w:rsidRPr="00FB0B96" w:rsidRDefault="00FB0B96" w:rsidP="00FB0B96">
      <w:pPr>
        <w:bidi/>
        <w:spacing w:after="0" w:line="240" w:lineRule="auto"/>
        <w:ind w:firstLine="4"/>
        <w:jc w:val="both"/>
        <w:rPr>
          <w:rFonts w:ascii="Traditional Arabic" w:eastAsia="Simplified Arabic" w:hAnsi="Traditional Arabic" w:cs="Traditional Arabic"/>
          <w:sz w:val="32"/>
          <w:szCs w:val="32"/>
          <w:vertAlign w:val="superscript"/>
          <w:rtl/>
          <w:lang w:bidi="ar-DZ"/>
        </w:rPr>
      </w:pPr>
      <w:r w:rsidRPr="00FB0B96">
        <w:rPr>
          <w:rFonts w:ascii="Traditional Arabic" w:eastAsia="Simplified Arabic" w:hAnsi="Traditional Arabic" w:cs="Traditional Arabic"/>
          <w:sz w:val="32"/>
          <w:szCs w:val="32"/>
          <w:rtl/>
        </w:rPr>
        <w:t>- وفي إطار هذه الوظيفة، يتوجب على اللجنة أيضا مراقبة تطبيق واجبات النظام الإعلامي وعليه، فإنه يجب على كل شركة أو مؤسسة عمومية تصدر قيما منقولة بالتجائها إلى التوفير علنا، أن تنشر قبل ذلك مذكرة لإعلام الجمهور تتضمن البيانات الإجبارية المنصوص عليها في القانون التجاري. يجب أن تؤشر اللجنة هذه المذكرة قبل نشرها</w:t>
      </w:r>
      <w:r w:rsidRPr="00FB0B96">
        <w:rPr>
          <w:rFonts w:ascii="Traditional Arabic" w:eastAsia="Simplified Arabic" w:hAnsi="Traditional Arabic" w:cs="Traditional Arabic"/>
          <w:sz w:val="32"/>
          <w:szCs w:val="32"/>
        </w:rPr>
        <w:t>.</w:t>
      </w:r>
    </w:p>
    <w:p w:rsidR="00FB0B96" w:rsidRPr="00FB0B96" w:rsidRDefault="00FB0B96" w:rsidP="00FB0B96">
      <w:pPr>
        <w:bidi/>
        <w:spacing w:after="0" w:line="240" w:lineRule="auto"/>
        <w:ind w:firstLine="4"/>
        <w:jc w:val="both"/>
        <w:rPr>
          <w:rFonts w:ascii="Traditional Arabic" w:eastAsia="Simplified Arabic" w:hAnsi="Traditional Arabic" w:cs="Traditional Arabic"/>
          <w:sz w:val="32"/>
          <w:szCs w:val="32"/>
          <w:rtl/>
        </w:rPr>
      </w:pPr>
      <w:r w:rsidRPr="00FB0B96">
        <w:rPr>
          <w:rFonts w:ascii="Traditional Arabic" w:eastAsia="Simplified Arabic" w:hAnsi="Traditional Arabic" w:cs="Traditional Arabic"/>
          <w:sz w:val="32"/>
          <w:szCs w:val="32"/>
          <w:rtl/>
        </w:rPr>
        <w:t>- كما يمكن للجنة وفي اطار مهام الرقابة ان تتولى التأشير على المذكرة الموجهة إلى إعلام الجمهور والتي استلزمها المشرع، على كل شركة او مؤسسة عمومية تريد اصدار أوراقا مالية او أي منتوج مالي اخر عن طريق اللجوء الى الادخار العلني والمتعلقة بتنظيم الشركة ووضعها المالي وتطور نشاطها، حيث يجب ان تؤشر اللجنة على هذه المذكرة قبل نشرها. وهنا يمكن للجنة عند دراسة مشروع المذكرة أن تشير عند الاقتضاء إلى البيانات الواجب تعديلها، أو المعلومات الإضافية الواجب إدراجها فيها</w:t>
      </w:r>
      <w:r w:rsidRPr="00FB0B96">
        <w:rPr>
          <w:rFonts w:ascii="Traditional Arabic" w:eastAsia="Simplified Arabic" w:hAnsi="Traditional Arabic" w:cs="Traditional Arabic"/>
          <w:sz w:val="32"/>
          <w:szCs w:val="32"/>
        </w:rPr>
        <w:t>.</w:t>
      </w:r>
      <w:r w:rsidRPr="00FB0B96">
        <w:rPr>
          <w:rFonts w:ascii="Traditional Arabic" w:eastAsia="Simplified Arabic" w:hAnsi="Traditional Arabic" w:cs="Traditional Arabic"/>
          <w:sz w:val="32"/>
          <w:szCs w:val="32"/>
          <w:rtl/>
        </w:rPr>
        <w:t xml:space="preserve"> كما يمكن لها أن تطلب أي ايضاح أو تبرير يخص المعلومات الواردة فيها، كما يمكن لها أن ترفض التأشير على هذه المذكرة ما لم تتم الاستجابة لطلبات التعديل، ويكون للجنة مهلة شهرين قبل ان تمنح تأشيرتها او ترفض او تطلب معلومات اضافية. </w:t>
      </w:r>
    </w:p>
    <w:p w:rsidR="00FB0B96" w:rsidRPr="00FB0B96" w:rsidRDefault="00FB0B96" w:rsidP="00FB0B96">
      <w:pPr>
        <w:bidi/>
        <w:spacing w:after="0" w:line="240" w:lineRule="auto"/>
        <w:ind w:firstLine="4"/>
        <w:jc w:val="both"/>
        <w:rPr>
          <w:rFonts w:ascii="Traditional Arabic" w:eastAsia="Simplified Arabic" w:hAnsi="Traditional Arabic" w:cs="Traditional Arabic"/>
          <w:sz w:val="32"/>
          <w:szCs w:val="32"/>
          <w:rtl/>
        </w:rPr>
      </w:pPr>
      <w:r w:rsidRPr="00FB0B96">
        <w:rPr>
          <w:rFonts w:ascii="Traditional Arabic" w:eastAsia="Simplified Arabic" w:hAnsi="Traditional Arabic" w:cs="Traditional Arabic"/>
          <w:sz w:val="32"/>
          <w:szCs w:val="32"/>
          <w:rtl/>
        </w:rPr>
        <w:t xml:space="preserve">        - للجنة ان تجري عن طريق مداولة خاصة التحقيقات حول الشركات التي تلجأ إلى التوفير العلني والبنوك والمؤسسات المالية والوسطاء في عمليات البورصة، ولدى الأشخاص الذين يقدمون نظرا لنشاطهم المهني مساهمات في العمليات الخاصة بالقيم المنقولة او في المنتجات المالية المسعرة او يتولون ادارة.</w:t>
      </w:r>
    </w:p>
    <w:p w:rsidR="00FB0B96" w:rsidRPr="00FB0B96" w:rsidRDefault="00FB0B96" w:rsidP="00FB0B96">
      <w:pPr>
        <w:bidi/>
        <w:spacing w:after="0" w:line="240" w:lineRule="auto"/>
        <w:ind w:firstLine="4"/>
        <w:jc w:val="both"/>
        <w:rPr>
          <w:rFonts w:ascii="Traditional Arabic" w:eastAsia="Simplified Arabic" w:hAnsi="Traditional Arabic" w:cs="Traditional Arabic"/>
          <w:sz w:val="32"/>
          <w:szCs w:val="32"/>
          <w:rtl/>
        </w:rPr>
      </w:pPr>
      <w:r w:rsidRPr="00FB0B96">
        <w:rPr>
          <w:rFonts w:ascii="Traditional Arabic" w:eastAsia="Simplified Arabic" w:hAnsi="Traditional Arabic" w:cs="Traditional Arabic"/>
          <w:sz w:val="32"/>
          <w:szCs w:val="32"/>
        </w:rPr>
        <w:t>-</w:t>
      </w:r>
      <w:r w:rsidRPr="00FB0B96">
        <w:rPr>
          <w:rFonts w:ascii="Traditional Arabic" w:eastAsia="Simplified Arabic" w:hAnsi="Traditional Arabic" w:cs="Traditional Arabic"/>
          <w:sz w:val="32"/>
          <w:szCs w:val="32"/>
        </w:rPr>
        <w:tab/>
      </w:r>
      <w:r w:rsidRPr="00FB0B96">
        <w:rPr>
          <w:rFonts w:ascii="Traditional Arabic" w:eastAsia="Simplified Arabic" w:hAnsi="Traditional Arabic" w:cs="Traditional Arabic"/>
          <w:sz w:val="32"/>
          <w:szCs w:val="32"/>
          <w:rtl/>
        </w:rPr>
        <w:t>يمكن للجنة وفي اطار التحقيقات التي تجريها وعقب مداولة خاصة أن تستدعي أي شخص من شأنه أن يقدم لها معلومات في القضايا المطروحة عليها، او أن تأمر احد أعوانها باستدعائهم ويحق هنا لكل شخص تم استدعاؤه أن يستعين بمستشار من اختياره. وفي اطار اعمال التحقيق هذه يمكن للأعوان المؤهلين ان يطلبوا امدادهم بأية وثائق وان يحصلوا على نسخ منها كما يمكنهم الوصول الى جميع المحال ذات الاستعمال المهني</w:t>
      </w:r>
      <w:r w:rsidRPr="00FB0B96">
        <w:rPr>
          <w:rFonts w:ascii="Traditional Arabic" w:eastAsia="Simplified Arabic" w:hAnsi="Traditional Arabic" w:cs="Traditional Arabic"/>
          <w:sz w:val="32"/>
          <w:szCs w:val="32"/>
        </w:rPr>
        <w:t>.</w:t>
      </w:r>
    </w:p>
    <w:p w:rsidR="00FB0B96" w:rsidRPr="00FB0B96" w:rsidRDefault="00FB0B96" w:rsidP="00FB0B96">
      <w:pPr>
        <w:bidi/>
        <w:spacing w:after="0" w:line="240" w:lineRule="auto"/>
        <w:ind w:firstLine="4"/>
        <w:jc w:val="both"/>
        <w:rPr>
          <w:rFonts w:ascii="Traditional Arabic" w:eastAsia="Simplified Arabic" w:hAnsi="Traditional Arabic" w:cs="Traditional Arabic"/>
          <w:sz w:val="32"/>
          <w:szCs w:val="32"/>
          <w:rtl/>
        </w:rPr>
      </w:pPr>
      <w:r w:rsidRPr="00FB0B96">
        <w:rPr>
          <w:rFonts w:ascii="Traditional Arabic" w:eastAsia="Simplified Arabic" w:hAnsi="Traditional Arabic" w:cs="Traditional Arabic"/>
          <w:sz w:val="32"/>
          <w:szCs w:val="32"/>
        </w:rPr>
        <w:t>-</w:t>
      </w:r>
      <w:r w:rsidRPr="00FB0B96">
        <w:rPr>
          <w:rFonts w:ascii="Traditional Arabic" w:eastAsia="Simplified Arabic" w:hAnsi="Traditional Arabic" w:cs="Traditional Arabic"/>
          <w:sz w:val="32"/>
          <w:szCs w:val="32"/>
        </w:rPr>
        <w:tab/>
      </w:r>
      <w:r w:rsidRPr="00FB0B96">
        <w:rPr>
          <w:rFonts w:ascii="Traditional Arabic" w:eastAsia="Simplified Arabic" w:hAnsi="Traditional Arabic" w:cs="Traditional Arabic"/>
          <w:sz w:val="32"/>
          <w:szCs w:val="32"/>
          <w:rtl/>
        </w:rPr>
        <w:t xml:space="preserve">يمكن لرئيس اللجنة، في حالة وقوع عمل يخالف الأحكام التشريعية أو التنظيمية، وكان من شأن هذا العمل الإضرار بحقوق المستثمرين في القيم المنقولة، أن يطلب من المحكمة إصدار أمر للمسؤولين بامتثال لهذه الأحكام ووضع حد للمخالفة أو إبطال آثارها، ويحيل نسخة على المجلس القضائي لتفصل فيه بشكل مستعجل ويمكن لها هنا ان تأمر تلقائيا باتخاذ أي إجراء تحفظي تحت طائلة الغرامة التهديدية لفائدة الخزينة العامة. ويمكن لرئيس اللجنة في هذا الاطار </w:t>
      </w:r>
      <w:r w:rsidRPr="00FB0B96">
        <w:rPr>
          <w:rFonts w:ascii="Traditional Arabic" w:eastAsia="Simplified Arabic" w:hAnsi="Traditional Arabic" w:cs="Traditional Arabic"/>
          <w:sz w:val="32"/>
          <w:szCs w:val="32"/>
          <w:rtl/>
          <w:lang w:bidi="ar-DZ"/>
        </w:rPr>
        <w:t>أ</w:t>
      </w:r>
      <w:r w:rsidRPr="00FB0B96">
        <w:rPr>
          <w:rFonts w:ascii="Traditional Arabic" w:eastAsia="Simplified Arabic" w:hAnsi="Traditional Arabic" w:cs="Traditional Arabic"/>
          <w:sz w:val="32"/>
          <w:szCs w:val="32"/>
          <w:rtl/>
        </w:rPr>
        <w:t>ن يتأسس كطرف مدني في حالة وقوع جرائم جزائية</w:t>
      </w:r>
      <w:r w:rsidRPr="00FB0B96">
        <w:rPr>
          <w:rFonts w:ascii="Traditional Arabic" w:eastAsia="Simplified Arabic" w:hAnsi="Traditional Arabic" w:cs="Traditional Arabic"/>
          <w:sz w:val="32"/>
          <w:szCs w:val="32"/>
        </w:rPr>
        <w:t>.</w:t>
      </w:r>
    </w:p>
    <w:p w:rsidR="00FB0B96" w:rsidRPr="00FB0B96" w:rsidRDefault="00FB0B96" w:rsidP="00FB0B96">
      <w:pPr>
        <w:bidi/>
        <w:spacing w:after="0" w:line="240" w:lineRule="auto"/>
        <w:ind w:firstLine="4"/>
        <w:jc w:val="both"/>
        <w:rPr>
          <w:rFonts w:ascii="Traditional Arabic" w:eastAsia="Simplified Arabic" w:hAnsi="Traditional Arabic" w:cs="Traditional Arabic"/>
          <w:sz w:val="32"/>
          <w:szCs w:val="32"/>
          <w:rtl/>
        </w:rPr>
      </w:pPr>
      <w:r w:rsidRPr="00FB0B96">
        <w:rPr>
          <w:rFonts w:ascii="Traditional Arabic" w:eastAsia="Simplified Arabic" w:hAnsi="Traditional Arabic" w:cs="Traditional Arabic"/>
          <w:sz w:val="32"/>
          <w:szCs w:val="32"/>
        </w:rPr>
        <w:t>-</w:t>
      </w:r>
      <w:r w:rsidRPr="00FB0B96">
        <w:rPr>
          <w:rFonts w:ascii="Traditional Arabic" w:eastAsia="Simplified Arabic" w:hAnsi="Traditional Arabic" w:cs="Traditional Arabic"/>
          <w:sz w:val="32"/>
          <w:szCs w:val="32"/>
        </w:rPr>
        <w:tab/>
      </w:r>
      <w:r w:rsidRPr="00FB0B96">
        <w:rPr>
          <w:rFonts w:ascii="Traditional Arabic" w:eastAsia="Simplified Arabic" w:hAnsi="Traditional Arabic" w:cs="Traditional Arabic"/>
          <w:sz w:val="32"/>
          <w:szCs w:val="32"/>
          <w:rtl/>
        </w:rPr>
        <w:t>يمكن للجنة ان تتخذ قرارها بشأن قبول القيم المنقولة في المفاوضات أو شطبها. كما يمكن لها ان تأمر بتعليق تحديد سعر الأسهم ضمانا لإعلام وحماية المدخرين</w:t>
      </w:r>
      <w:r w:rsidRPr="00FB0B96">
        <w:rPr>
          <w:rFonts w:ascii="Traditional Arabic" w:eastAsia="Simplified Arabic" w:hAnsi="Traditional Arabic" w:cs="Traditional Arabic"/>
          <w:sz w:val="32"/>
          <w:szCs w:val="32"/>
        </w:rPr>
        <w:t>.</w:t>
      </w:r>
    </w:p>
    <w:p w:rsidR="00FB0B96" w:rsidRPr="00FB0B96" w:rsidRDefault="00FB0B96" w:rsidP="00FB0B96">
      <w:pPr>
        <w:bidi/>
        <w:spacing w:after="0" w:line="240" w:lineRule="auto"/>
        <w:ind w:firstLine="4"/>
        <w:jc w:val="both"/>
        <w:rPr>
          <w:rFonts w:ascii="Traditional Arabic" w:eastAsia="Simplified Arabic" w:hAnsi="Traditional Arabic" w:cs="Traditional Arabic"/>
          <w:sz w:val="32"/>
          <w:szCs w:val="32"/>
          <w:rtl/>
        </w:rPr>
      </w:pPr>
      <w:r w:rsidRPr="00FB0B96">
        <w:rPr>
          <w:rFonts w:ascii="Traditional Arabic" w:eastAsia="Simplified Arabic" w:hAnsi="Traditional Arabic" w:cs="Traditional Arabic"/>
          <w:sz w:val="32"/>
          <w:szCs w:val="32"/>
        </w:rPr>
        <w:t>-</w:t>
      </w:r>
      <w:r w:rsidRPr="00FB0B96">
        <w:rPr>
          <w:rFonts w:ascii="Traditional Arabic" w:eastAsia="Simplified Arabic" w:hAnsi="Traditional Arabic" w:cs="Traditional Arabic"/>
          <w:sz w:val="32"/>
          <w:szCs w:val="32"/>
        </w:rPr>
        <w:tab/>
      </w:r>
      <w:r w:rsidRPr="00FB0B96">
        <w:rPr>
          <w:rFonts w:ascii="Traditional Arabic" w:eastAsia="Simplified Arabic" w:hAnsi="Traditional Arabic" w:cs="Traditional Arabic"/>
          <w:sz w:val="32"/>
          <w:szCs w:val="32"/>
          <w:rtl/>
        </w:rPr>
        <w:t>تجري اجتماعات البورصة تحت مراقبة مراقب تفوضه اللجنة، وتكون له سلطة التدخل في اجتماعاتها لتسوية الاحداث أو النزاعات العارضة ذات الطابع التقني والتي من شأنها ان تعوق سير اجتماعاتها وله أن يقضي خلال الاجتماعات بتعليق تحديد سعر او عدد من اسعار الاوراق المتداولة</w:t>
      </w:r>
    </w:p>
    <w:p w:rsidR="00FB0B96" w:rsidRPr="00FB0B96" w:rsidRDefault="00FB0B96" w:rsidP="00FB0B96">
      <w:pPr>
        <w:bidi/>
        <w:spacing w:after="0" w:line="240" w:lineRule="auto"/>
        <w:ind w:firstLine="4"/>
        <w:jc w:val="both"/>
        <w:rPr>
          <w:rFonts w:ascii="Traditional Arabic" w:eastAsia="Simplified Arabic" w:hAnsi="Traditional Arabic" w:cs="Traditional Arabic"/>
          <w:sz w:val="32"/>
          <w:szCs w:val="32"/>
          <w:rtl/>
        </w:rPr>
      </w:pPr>
      <w:r w:rsidRPr="00FB0B96">
        <w:rPr>
          <w:rFonts w:ascii="Traditional Arabic" w:eastAsia="Simplified Arabic" w:hAnsi="Traditional Arabic" w:cs="Traditional Arabic"/>
          <w:sz w:val="32"/>
          <w:szCs w:val="32"/>
        </w:rPr>
        <w:lastRenderedPageBreak/>
        <w:t>-</w:t>
      </w:r>
      <w:r w:rsidRPr="00FB0B96">
        <w:rPr>
          <w:rFonts w:ascii="Traditional Arabic" w:eastAsia="Simplified Arabic" w:hAnsi="Traditional Arabic" w:cs="Traditional Arabic"/>
          <w:sz w:val="32"/>
          <w:szCs w:val="32"/>
        </w:rPr>
        <w:tab/>
      </w:r>
      <w:r w:rsidRPr="00FB0B96">
        <w:rPr>
          <w:rFonts w:ascii="Traditional Arabic" w:eastAsia="Simplified Arabic" w:hAnsi="Traditional Arabic" w:cs="Traditional Arabic"/>
          <w:sz w:val="32"/>
          <w:szCs w:val="32"/>
          <w:rtl/>
        </w:rPr>
        <w:t>كما يمكن للجنة أن تعلق لمدة ال تتجاوز خمسة 05 أيام كاملة عمليات البورصة اذا ما حدث حادث كبير ينجر عنه اختلال في سير البورصة او حركات غير منتظمة لأسعار البورصة، وإذا كان هذا الحادث مما يتطلب تعليقها لمدة تتجاوز خمسة 05 أيام كان ذلك من اختصاص وزير المالية</w:t>
      </w:r>
      <w:r w:rsidRPr="00FB0B96">
        <w:rPr>
          <w:rFonts w:ascii="Traditional Arabic" w:eastAsia="Simplified Arabic" w:hAnsi="Traditional Arabic" w:cs="Traditional Arabic"/>
          <w:sz w:val="32"/>
          <w:szCs w:val="32"/>
        </w:rPr>
        <w:t>.</w:t>
      </w:r>
    </w:p>
    <w:p w:rsidR="00FB0B96" w:rsidRPr="00FB0B96" w:rsidRDefault="00FB0B96" w:rsidP="00FB0B96">
      <w:pPr>
        <w:bidi/>
        <w:spacing w:after="0" w:line="240" w:lineRule="auto"/>
        <w:ind w:firstLine="4"/>
        <w:jc w:val="both"/>
        <w:rPr>
          <w:rFonts w:ascii="Traditional Arabic" w:eastAsia="Simplified Arabic" w:hAnsi="Traditional Arabic" w:cs="Traditional Arabic"/>
          <w:sz w:val="32"/>
          <w:szCs w:val="32"/>
          <w:rtl/>
        </w:rPr>
      </w:pPr>
      <w:r w:rsidRPr="00FB0B96">
        <w:rPr>
          <w:rFonts w:ascii="Traditional Arabic" w:eastAsia="Simplified Arabic" w:hAnsi="Traditional Arabic" w:cs="Traditional Arabic"/>
          <w:sz w:val="32"/>
          <w:szCs w:val="32"/>
        </w:rPr>
        <w:t>-</w:t>
      </w:r>
      <w:r w:rsidRPr="00FB0B96">
        <w:rPr>
          <w:rFonts w:ascii="Traditional Arabic" w:eastAsia="Simplified Arabic" w:hAnsi="Traditional Arabic" w:cs="Traditional Arabic"/>
          <w:sz w:val="32"/>
          <w:szCs w:val="32"/>
        </w:rPr>
        <w:tab/>
      </w:r>
      <w:r w:rsidRPr="00FB0B96">
        <w:rPr>
          <w:rFonts w:ascii="Traditional Arabic" w:eastAsia="Simplified Arabic" w:hAnsi="Traditional Arabic" w:cs="Traditional Arabic"/>
          <w:sz w:val="32"/>
          <w:szCs w:val="32"/>
          <w:rtl/>
        </w:rPr>
        <w:t>كما تسهر اللجنة ولحماية السوق على مراعاة قواعد أخلاقيات المهنة التي تفرض نفسها على المتعاملين في السوق والتي تحدد عن طريق لائحة تصدرها اللجنة.</w:t>
      </w:r>
    </w:p>
    <w:p w:rsidR="00FB0B96" w:rsidRPr="00FB0B96" w:rsidRDefault="00FB0B96" w:rsidP="00FB0B96">
      <w:pPr>
        <w:bidi/>
        <w:spacing w:after="0" w:line="240" w:lineRule="auto"/>
        <w:ind w:firstLine="4"/>
        <w:jc w:val="both"/>
        <w:rPr>
          <w:rFonts w:ascii="Traditional Arabic" w:eastAsia="Simplified Arabic" w:hAnsi="Traditional Arabic" w:cs="Traditional Arabic"/>
          <w:sz w:val="32"/>
          <w:szCs w:val="32"/>
          <w:rtl/>
        </w:rPr>
      </w:pPr>
      <w:r w:rsidRPr="00FB0B96">
        <w:rPr>
          <w:rFonts w:ascii="Traditional Arabic" w:eastAsia="Simplified Arabic" w:hAnsi="Traditional Arabic" w:cs="Traditional Arabic"/>
          <w:sz w:val="32"/>
          <w:szCs w:val="32"/>
          <w:rtl/>
        </w:rPr>
        <w:t>ج</w:t>
      </w:r>
      <w:r w:rsidRPr="00FB0B96">
        <w:rPr>
          <w:rFonts w:ascii="Traditional Arabic" w:eastAsia="Simplified Arabic" w:hAnsi="Traditional Arabic" w:cs="Traditional Arabic"/>
          <w:b/>
          <w:bCs/>
          <w:sz w:val="32"/>
          <w:szCs w:val="32"/>
          <w:rtl/>
        </w:rPr>
        <w:t>- الوظيفة التأديبية والتحكيمية</w:t>
      </w:r>
      <w:r w:rsidRPr="00FB0B96">
        <w:rPr>
          <w:rFonts w:ascii="Traditional Arabic" w:eastAsia="Simplified Arabic" w:hAnsi="Traditional Arabic" w:cs="Traditional Arabic"/>
          <w:sz w:val="32"/>
          <w:szCs w:val="32"/>
          <w:rtl/>
        </w:rPr>
        <w:t>: حسب المادة 51 من المرسوم التشريعي 10-93 تنشا ضمن اللجنة غرفة تأديبية وتحكيمية، تتألف زيادة على رئيس اللجنة الذي يتولى رئاسة الغرفة من:</w:t>
      </w:r>
    </w:p>
    <w:p w:rsidR="00FB0B96" w:rsidRPr="00FB0B96" w:rsidRDefault="00FB0B96" w:rsidP="00FB0B96">
      <w:pPr>
        <w:bidi/>
        <w:spacing w:after="0" w:line="240" w:lineRule="auto"/>
        <w:ind w:firstLine="4"/>
        <w:jc w:val="both"/>
        <w:rPr>
          <w:rFonts w:ascii="Traditional Arabic" w:eastAsia="Simplified Arabic" w:hAnsi="Traditional Arabic" w:cs="Traditional Arabic"/>
          <w:sz w:val="32"/>
          <w:szCs w:val="32"/>
          <w:rtl/>
        </w:rPr>
      </w:pPr>
      <w:r w:rsidRPr="00FB0B96">
        <w:rPr>
          <w:rFonts w:ascii="Traditional Arabic" w:eastAsia="Simplified Arabic" w:hAnsi="Traditional Arabic" w:cs="Traditional Arabic"/>
          <w:sz w:val="32"/>
          <w:szCs w:val="32"/>
        </w:rPr>
        <w:t>-</w:t>
      </w:r>
      <w:r w:rsidRPr="00FB0B96">
        <w:rPr>
          <w:rFonts w:ascii="Traditional Arabic" w:eastAsia="Simplified Arabic" w:hAnsi="Traditional Arabic" w:cs="Traditional Arabic"/>
          <w:sz w:val="32"/>
          <w:szCs w:val="32"/>
        </w:rPr>
        <w:tab/>
      </w:r>
      <w:r w:rsidRPr="00FB0B96">
        <w:rPr>
          <w:rFonts w:ascii="Traditional Arabic" w:eastAsia="Simplified Arabic" w:hAnsi="Traditional Arabic" w:cs="Traditional Arabic"/>
          <w:sz w:val="32"/>
          <w:szCs w:val="32"/>
          <w:rtl/>
        </w:rPr>
        <w:t>عضوين منتخبين من بين أعضاء اللجنة طوال مدة انتدابهما</w:t>
      </w:r>
      <w:r w:rsidRPr="00FB0B96">
        <w:rPr>
          <w:rFonts w:ascii="Traditional Arabic" w:eastAsia="Simplified Arabic" w:hAnsi="Traditional Arabic" w:cs="Traditional Arabic"/>
          <w:sz w:val="32"/>
          <w:szCs w:val="32"/>
        </w:rPr>
        <w:t>.</w:t>
      </w:r>
    </w:p>
    <w:p w:rsidR="00FB0B96" w:rsidRPr="00FB0B96" w:rsidRDefault="00FB0B96" w:rsidP="00FB0B96">
      <w:pPr>
        <w:bidi/>
        <w:spacing w:after="0" w:line="240" w:lineRule="auto"/>
        <w:ind w:firstLine="4"/>
        <w:jc w:val="both"/>
        <w:rPr>
          <w:rFonts w:ascii="Traditional Arabic" w:eastAsia="Simplified Arabic" w:hAnsi="Traditional Arabic" w:cs="Traditional Arabic"/>
          <w:sz w:val="32"/>
          <w:szCs w:val="32"/>
          <w:rtl/>
        </w:rPr>
      </w:pPr>
      <w:r w:rsidRPr="00FB0B96">
        <w:rPr>
          <w:rFonts w:ascii="Traditional Arabic" w:eastAsia="Simplified Arabic" w:hAnsi="Traditional Arabic" w:cs="Traditional Arabic"/>
          <w:sz w:val="32"/>
          <w:szCs w:val="32"/>
        </w:rPr>
        <w:t>-</w:t>
      </w:r>
      <w:r w:rsidRPr="00FB0B96">
        <w:rPr>
          <w:rFonts w:ascii="Traditional Arabic" w:eastAsia="Simplified Arabic" w:hAnsi="Traditional Arabic" w:cs="Traditional Arabic"/>
          <w:sz w:val="32"/>
          <w:szCs w:val="32"/>
        </w:rPr>
        <w:tab/>
      </w:r>
      <w:r w:rsidRPr="00FB0B96">
        <w:rPr>
          <w:rFonts w:ascii="Traditional Arabic" w:eastAsia="Simplified Arabic" w:hAnsi="Traditional Arabic" w:cs="Traditional Arabic"/>
          <w:sz w:val="32"/>
          <w:szCs w:val="32"/>
          <w:rtl/>
        </w:rPr>
        <w:t>قاضيين يعينهما وزير العدل، ويختاران لكفاءتهما في المجالين الاقتصادي والمالي</w:t>
      </w:r>
      <w:r w:rsidRPr="00FB0B96">
        <w:rPr>
          <w:rFonts w:ascii="Traditional Arabic" w:eastAsia="Simplified Arabic" w:hAnsi="Traditional Arabic" w:cs="Traditional Arabic"/>
          <w:sz w:val="32"/>
          <w:szCs w:val="32"/>
        </w:rPr>
        <w:t>.</w:t>
      </w:r>
    </w:p>
    <w:p w:rsidR="00FB0B96" w:rsidRPr="00FB0B96" w:rsidRDefault="00FB0B96" w:rsidP="00FB0B96">
      <w:pPr>
        <w:bidi/>
        <w:spacing w:after="0" w:line="240" w:lineRule="auto"/>
        <w:ind w:firstLine="4"/>
        <w:jc w:val="both"/>
        <w:rPr>
          <w:rFonts w:ascii="Traditional Arabic" w:eastAsia="Simplified Arabic" w:hAnsi="Traditional Arabic" w:cs="Traditional Arabic"/>
          <w:sz w:val="32"/>
          <w:szCs w:val="32"/>
          <w:rtl/>
        </w:rPr>
      </w:pPr>
      <w:r w:rsidRPr="00FB0B96">
        <w:rPr>
          <w:rFonts w:ascii="Traditional Arabic" w:eastAsia="Simplified Arabic" w:hAnsi="Traditional Arabic" w:cs="Traditional Arabic"/>
          <w:sz w:val="32"/>
          <w:szCs w:val="32"/>
          <w:rtl/>
        </w:rPr>
        <w:t>تختص هذه اللجنة في مجال التحكيم لدراسة أي نزاع تقني ناتج عن تفسير القوانين واللوائح السارية على سير البورصة. ويمكن لها أن تتدخل بين الأطراف كما يلي:</w:t>
      </w:r>
    </w:p>
    <w:p w:rsidR="00FB0B96" w:rsidRPr="00FB0B96" w:rsidRDefault="00FB0B96" w:rsidP="00FB0B96">
      <w:pPr>
        <w:bidi/>
        <w:spacing w:after="0" w:line="240" w:lineRule="auto"/>
        <w:ind w:firstLine="4"/>
        <w:jc w:val="both"/>
        <w:rPr>
          <w:rFonts w:ascii="Traditional Arabic" w:eastAsia="Simplified Arabic" w:hAnsi="Traditional Arabic" w:cs="Traditional Arabic"/>
          <w:sz w:val="32"/>
          <w:szCs w:val="32"/>
          <w:rtl/>
        </w:rPr>
      </w:pPr>
      <w:r w:rsidRPr="00FB0B96">
        <w:rPr>
          <w:rFonts w:ascii="Traditional Arabic" w:eastAsia="Simplified Arabic" w:hAnsi="Traditional Arabic" w:cs="Traditional Arabic"/>
          <w:sz w:val="32"/>
          <w:szCs w:val="32"/>
        </w:rPr>
        <w:t>-</w:t>
      </w:r>
      <w:r w:rsidRPr="00FB0B96">
        <w:rPr>
          <w:rFonts w:ascii="Traditional Arabic" w:eastAsia="Simplified Arabic" w:hAnsi="Traditional Arabic" w:cs="Traditional Arabic"/>
          <w:sz w:val="32"/>
          <w:szCs w:val="32"/>
        </w:rPr>
        <w:tab/>
      </w:r>
      <w:r w:rsidRPr="00FB0B96">
        <w:rPr>
          <w:rFonts w:ascii="Traditional Arabic" w:eastAsia="Simplified Arabic" w:hAnsi="Traditional Arabic" w:cs="Traditional Arabic"/>
          <w:sz w:val="32"/>
          <w:szCs w:val="32"/>
          <w:rtl/>
        </w:rPr>
        <w:t>بين الوسطاء في عمليات البورصة</w:t>
      </w:r>
      <w:r w:rsidRPr="00FB0B96">
        <w:rPr>
          <w:rFonts w:ascii="Traditional Arabic" w:eastAsia="Simplified Arabic" w:hAnsi="Traditional Arabic" w:cs="Traditional Arabic"/>
          <w:sz w:val="32"/>
          <w:szCs w:val="32"/>
        </w:rPr>
        <w:t>.</w:t>
      </w:r>
    </w:p>
    <w:p w:rsidR="00FB0B96" w:rsidRPr="00FB0B96" w:rsidRDefault="00FB0B96" w:rsidP="00FB0B96">
      <w:pPr>
        <w:bidi/>
        <w:spacing w:after="0" w:line="240" w:lineRule="auto"/>
        <w:ind w:firstLine="4"/>
        <w:jc w:val="both"/>
        <w:rPr>
          <w:rFonts w:ascii="Traditional Arabic" w:eastAsia="Simplified Arabic" w:hAnsi="Traditional Arabic" w:cs="Traditional Arabic"/>
          <w:sz w:val="32"/>
          <w:szCs w:val="32"/>
          <w:rtl/>
        </w:rPr>
      </w:pPr>
      <w:r w:rsidRPr="00FB0B96">
        <w:rPr>
          <w:rFonts w:ascii="Traditional Arabic" w:eastAsia="Simplified Arabic" w:hAnsi="Traditional Arabic" w:cs="Traditional Arabic"/>
          <w:sz w:val="32"/>
          <w:szCs w:val="32"/>
        </w:rPr>
        <w:t>-</w:t>
      </w:r>
      <w:r w:rsidRPr="00FB0B96">
        <w:rPr>
          <w:rFonts w:ascii="Traditional Arabic" w:eastAsia="Simplified Arabic" w:hAnsi="Traditional Arabic" w:cs="Traditional Arabic"/>
          <w:sz w:val="32"/>
          <w:szCs w:val="32"/>
        </w:rPr>
        <w:tab/>
      </w:r>
      <w:r w:rsidRPr="00FB0B96">
        <w:rPr>
          <w:rFonts w:ascii="Traditional Arabic" w:eastAsia="Simplified Arabic" w:hAnsi="Traditional Arabic" w:cs="Traditional Arabic"/>
          <w:sz w:val="32"/>
          <w:szCs w:val="32"/>
          <w:rtl/>
        </w:rPr>
        <w:t>بين الوسطاء في عمليات البورصة وشركة إدارة بورصة القيم</w:t>
      </w:r>
      <w:r w:rsidRPr="00FB0B96">
        <w:rPr>
          <w:rFonts w:ascii="Traditional Arabic" w:eastAsia="Simplified Arabic" w:hAnsi="Traditional Arabic" w:cs="Traditional Arabic"/>
          <w:sz w:val="32"/>
          <w:szCs w:val="32"/>
        </w:rPr>
        <w:t>.</w:t>
      </w:r>
    </w:p>
    <w:p w:rsidR="00FB0B96" w:rsidRPr="00FB0B96" w:rsidRDefault="00FB0B96" w:rsidP="00FB0B96">
      <w:pPr>
        <w:bidi/>
        <w:spacing w:after="0" w:line="240" w:lineRule="auto"/>
        <w:ind w:firstLine="4"/>
        <w:jc w:val="both"/>
        <w:rPr>
          <w:rFonts w:ascii="Traditional Arabic" w:eastAsia="Simplified Arabic" w:hAnsi="Traditional Arabic" w:cs="Traditional Arabic"/>
          <w:sz w:val="32"/>
          <w:szCs w:val="32"/>
          <w:rtl/>
        </w:rPr>
      </w:pPr>
      <w:r w:rsidRPr="00FB0B96">
        <w:rPr>
          <w:rFonts w:ascii="Traditional Arabic" w:eastAsia="Simplified Arabic" w:hAnsi="Traditional Arabic" w:cs="Traditional Arabic"/>
          <w:sz w:val="32"/>
          <w:szCs w:val="32"/>
        </w:rPr>
        <w:t>-</w:t>
      </w:r>
      <w:r w:rsidRPr="00FB0B96">
        <w:rPr>
          <w:rFonts w:ascii="Traditional Arabic" w:eastAsia="Simplified Arabic" w:hAnsi="Traditional Arabic" w:cs="Traditional Arabic"/>
          <w:sz w:val="32"/>
          <w:szCs w:val="32"/>
        </w:rPr>
        <w:tab/>
      </w:r>
      <w:r w:rsidRPr="00FB0B96">
        <w:rPr>
          <w:rFonts w:ascii="Traditional Arabic" w:eastAsia="Simplified Arabic" w:hAnsi="Traditional Arabic" w:cs="Traditional Arabic"/>
          <w:sz w:val="32"/>
          <w:szCs w:val="32"/>
          <w:rtl/>
        </w:rPr>
        <w:t>بين الوسطاء في عمليات البورصة والشركات المصدرة للأسهم</w:t>
      </w:r>
      <w:r w:rsidRPr="00FB0B96">
        <w:rPr>
          <w:rFonts w:ascii="Traditional Arabic" w:eastAsia="Simplified Arabic" w:hAnsi="Traditional Arabic" w:cs="Traditional Arabic"/>
          <w:sz w:val="32"/>
          <w:szCs w:val="32"/>
        </w:rPr>
        <w:t>.</w:t>
      </w:r>
    </w:p>
    <w:p w:rsidR="00FB0B96" w:rsidRPr="00FB0B96" w:rsidRDefault="00FB0B96" w:rsidP="00FB0B96">
      <w:pPr>
        <w:bidi/>
        <w:spacing w:after="0" w:line="240" w:lineRule="auto"/>
        <w:ind w:firstLine="4"/>
        <w:jc w:val="both"/>
        <w:rPr>
          <w:rFonts w:ascii="Traditional Arabic" w:eastAsia="Simplified Arabic" w:hAnsi="Traditional Arabic" w:cs="Traditional Arabic"/>
          <w:sz w:val="32"/>
          <w:szCs w:val="32"/>
          <w:rtl/>
        </w:rPr>
      </w:pPr>
      <w:r w:rsidRPr="00FB0B96">
        <w:rPr>
          <w:rFonts w:ascii="Traditional Arabic" w:eastAsia="Simplified Arabic" w:hAnsi="Traditional Arabic" w:cs="Traditional Arabic"/>
          <w:sz w:val="32"/>
          <w:szCs w:val="32"/>
        </w:rPr>
        <w:t>-</w:t>
      </w:r>
      <w:r w:rsidRPr="00FB0B96">
        <w:rPr>
          <w:rFonts w:ascii="Traditional Arabic" w:eastAsia="Simplified Arabic" w:hAnsi="Traditional Arabic" w:cs="Traditional Arabic"/>
          <w:sz w:val="32"/>
          <w:szCs w:val="32"/>
        </w:rPr>
        <w:tab/>
      </w:r>
      <w:r w:rsidRPr="00FB0B96">
        <w:rPr>
          <w:rFonts w:ascii="Traditional Arabic" w:eastAsia="Simplified Arabic" w:hAnsi="Traditional Arabic" w:cs="Traditional Arabic"/>
          <w:sz w:val="32"/>
          <w:szCs w:val="32"/>
          <w:rtl/>
        </w:rPr>
        <w:t>بين الوسطاء في عمليات البورصة والآمرين بالسحب في البورصة</w:t>
      </w:r>
      <w:r w:rsidRPr="00FB0B96">
        <w:rPr>
          <w:rFonts w:ascii="Traditional Arabic" w:eastAsia="Simplified Arabic" w:hAnsi="Traditional Arabic" w:cs="Traditional Arabic"/>
          <w:sz w:val="32"/>
          <w:szCs w:val="32"/>
        </w:rPr>
        <w:t>.</w:t>
      </w:r>
    </w:p>
    <w:p w:rsidR="00FB0B96" w:rsidRPr="00FB0B96" w:rsidRDefault="00FB0B96" w:rsidP="00FB0B96">
      <w:pPr>
        <w:bidi/>
        <w:spacing w:after="0" w:line="240" w:lineRule="auto"/>
        <w:ind w:firstLine="4"/>
        <w:jc w:val="both"/>
        <w:rPr>
          <w:rFonts w:ascii="Traditional Arabic" w:eastAsia="Simplified Arabic" w:hAnsi="Traditional Arabic" w:cs="Traditional Arabic"/>
          <w:sz w:val="32"/>
          <w:szCs w:val="32"/>
          <w:rtl/>
        </w:rPr>
      </w:pPr>
      <w:r w:rsidRPr="00FB0B96">
        <w:rPr>
          <w:rFonts w:ascii="Traditional Arabic" w:eastAsia="Simplified Arabic" w:hAnsi="Traditional Arabic" w:cs="Traditional Arabic"/>
          <w:sz w:val="32"/>
          <w:szCs w:val="32"/>
          <w:rtl/>
        </w:rPr>
        <w:t>كما تختص اللجنة في المجال التأديبي لدراسة أي إخلال بالواجبات المهنية وأخلاقيات المهنة من جانب الوسطاء، وكل مخالفة للأحكام التشريعية والتنظيمية المطبقة عليهم</w:t>
      </w:r>
      <w:r w:rsidRPr="00FB0B96">
        <w:rPr>
          <w:rFonts w:ascii="Traditional Arabic" w:eastAsia="Simplified Arabic" w:hAnsi="Traditional Arabic" w:cs="Traditional Arabic"/>
          <w:sz w:val="32"/>
          <w:szCs w:val="32"/>
        </w:rPr>
        <w:t>.</w:t>
      </w:r>
    </w:p>
    <w:p w:rsidR="00FB0B96" w:rsidRPr="00FB0B96" w:rsidRDefault="00FB0B96" w:rsidP="00FB0B96">
      <w:pPr>
        <w:bidi/>
        <w:spacing w:after="0" w:line="240" w:lineRule="auto"/>
        <w:ind w:firstLine="4"/>
        <w:jc w:val="both"/>
        <w:rPr>
          <w:rFonts w:ascii="Traditional Arabic" w:eastAsia="Simplified Arabic" w:hAnsi="Traditional Arabic" w:cs="Traditional Arabic"/>
          <w:sz w:val="32"/>
          <w:szCs w:val="32"/>
          <w:rtl/>
        </w:rPr>
      </w:pPr>
      <w:r w:rsidRPr="00FB0B96">
        <w:rPr>
          <w:rFonts w:ascii="Traditional Arabic" w:eastAsia="Simplified Arabic" w:hAnsi="Traditional Arabic" w:cs="Traditional Arabic"/>
          <w:sz w:val="32"/>
          <w:szCs w:val="32"/>
          <w:rtl/>
        </w:rPr>
        <w:t>وحسب المادة 46 من المرسوم التشريعي 10-93 تعمل هذه اللجنة بناء على طلب من</w:t>
      </w:r>
      <w:r w:rsidRPr="00FB0B96">
        <w:rPr>
          <w:rFonts w:ascii="Traditional Arabic" w:eastAsia="Simplified Arabic" w:hAnsi="Traditional Arabic" w:cs="Traditional Arabic"/>
          <w:sz w:val="32"/>
          <w:szCs w:val="32"/>
        </w:rPr>
        <w:t>:</w:t>
      </w:r>
    </w:p>
    <w:p w:rsidR="00FB0B96" w:rsidRPr="00FB0B96" w:rsidRDefault="00FB0B96" w:rsidP="00FB0B96">
      <w:pPr>
        <w:bidi/>
        <w:spacing w:after="0" w:line="240" w:lineRule="auto"/>
        <w:ind w:firstLine="4"/>
        <w:jc w:val="both"/>
        <w:rPr>
          <w:rFonts w:ascii="Traditional Arabic" w:eastAsia="Simplified Arabic" w:hAnsi="Traditional Arabic" w:cs="Traditional Arabic"/>
          <w:sz w:val="32"/>
          <w:szCs w:val="32"/>
          <w:rtl/>
        </w:rPr>
      </w:pPr>
      <w:r w:rsidRPr="00FB0B96">
        <w:rPr>
          <w:rFonts w:ascii="Traditional Arabic" w:eastAsia="Simplified Arabic" w:hAnsi="Traditional Arabic" w:cs="Traditional Arabic"/>
          <w:sz w:val="32"/>
          <w:szCs w:val="32"/>
        </w:rPr>
        <w:t>*</w:t>
      </w:r>
      <w:r w:rsidRPr="00FB0B96">
        <w:rPr>
          <w:rFonts w:ascii="Traditional Arabic" w:eastAsia="Simplified Arabic" w:hAnsi="Traditional Arabic" w:cs="Traditional Arabic"/>
          <w:sz w:val="32"/>
          <w:szCs w:val="32"/>
        </w:rPr>
        <w:tab/>
      </w:r>
      <w:r w:rsidRPr="00FB0B96">
        <w:rPr>
          <w:rFonts w:ascii="Traditional Arabic" w:eastAsia="Simplified Arabic" w:hAnsi="Traditional Arabic" w:cs="Traditional Arabic"/>
          <w:sz w:val="32"/>
          <w:szCs w:val="32"/>
          <w:rtl/>
        </w:rPr>
        <w:t>بناء على طلب اللجنة</w:t>
      </w:r>
      <w:r w:rsidRPr="00FB0B96">
        <w:rPr>
          <w:rFonts w:ascii="Traditional Arabic" w:eastAsia="Simplified Arabic" w:hAnsi="Traditional Arabic" w:cs="Traditional Arabic"/>
          <w:sz w:val="32"/>
          <w:szCs w:val="32"/>
        </w:rPr>
        <w:t>.</w:t>
      </w:r>
    </w:p>
    <w:p w:rsidR="00FB0B96" w:rsidRPr="00FB0B96" w:rsidRDefault="00FB0B96" w:rsidP="00FB0B96">
      <w:pPr>
        <w:bidi/>
        <w:spacing w:after="0" w:line="240" w:lineRule="auto"/>
        <w:ind w:firstLine="4"/>
        <w:jc w:val="both"/>
        <w:rPr>
          <w:rFonts w:ascii="Traditional Arabic" w:eastAsia="Simplified Arabic" w:hAnsi="Traditional Arabic" w:cs="Traditional Arabic"/>
          <w:sz w:val="32"/>
          <w:szCs w:val="32"/>
          <w:rtl/>
        </w:rPr>
      </w:pPr>
      <w:r w:rsidRPr="00FB0B96">
        <w:rPr>
          <w:rFonts w:ascii="Traditional Arabic" w:eastAsia="Simplified Arabic" w:hAnsi="Traditional Arabic" w:cs="Traditional Arabic"/>
          <w:sz w:val="32"/>
          <w:szCs w:val="32"/>
        </w:rPr>
        <w:t>*</w:t>
      </w:r>
      <w:r w:rsidRPr="00FB0B96">
        <w:rPr>
          <w:rFonts w:ascii="Traditional Arabic" w:eastAsia="Simplified Arabic" w:hAnsi="Traditional Arabic" w:cs="Traditional Arabic"/>
          <w:sz w:val="32"/>
          <w:szCs w:val="32"/>
        </w:rPr>
        <w:tab/>
      </w:r>
      <w:r w:rsidRPr="00FB0B96">
        <w:rPr>
          <w:rFonts w:ascii="Traditional Arabic" w:eastAsia="Simplified Arabic" w:hAnsi="Traditional Arabic" w:cs="Traditional Arabic"/>
          <w:sz w:val="32"/>
          <w:szCs w:val="32"/>
          <w:rtl/>
        </w:rPr>
        <w:t>طلب من المراقب المذكور في المادة 46 والذي تجري اجتماعات البورصة تحت مراقبته</w:t>
      </w:r>
      <w:r w:rsidRPr="00FB0B96">
        <w:rPr>
          <w:rFonts w:ascii="Traditional Arabic" w:eastAsia="Simplified Arabic" w:hAnsi="Traditional Arabic" w:cs="Traditional Arabic"/>
          <w:sz w:val="32"/>
          <w:szCs w:val="32"/>
        </w:rPr>
        <w:t>.</w:t>
      </w:r>
    </w:p>
    <w:p w:rsidR="00FB0B96" w:rsidRPr="00FB0B96" w:rsidRDefault="00FB0B96" w:rsidP="00FB0B96">
      <w:pPr>
        <w:bidi/>
        <w:spacing w:after="0" w:line="240" w:lineRule="auto"/>
        <w:ind w:firstLine="4"/>
        <w:jc w:val="both"/>
        <w:rPr>
          <w:rFonts w:ascii="Traditional Arabic" w:eastAsia="Simplified Arabic" w:hAnsi="Traditional Arabic" w:cs="Traditional Arabic"/>
          <w:sz w:val="32"/>
          <w:szCs w:val="32"/>
          <w:rtl/>
        </w:rPr>
      </w:pPr>
      <w:r w:rsidRPr="00FB0B96">
        <w:rPr>
          <w:rFonts w:ascii="Traditional Arabic" w:eastAsia="Simplified Arabic" w:hAnsi="Traditional Arabic" w:cs="Traditional Arabic"/>
          <w:sz w:val="32"/>
          <w:szCs w:val="32"/>
        </w:rPr>
        <w:t>*</w:t>
      </w:r>
      <w:r w:rsidRPr="00FB0B96">
        <w:rPr>
          <w:rFonts w:ascii="Traditional Arabic" w:eastAsia="Simplified Arabic" w:hAnsi="Traditional Arabic" w:cs="Traditional Arabic"/>
          <w:sz w:val="32"/>
          <w:szCs w:val="32"/>
        </w:rPr>
        <w:tab/>
      </w:r>
      <w:r w:rsidRPr="00FB0B96">
        <w:rPr>
          <w:rFonts w:ascii="Traditional Arabic" w:eastAsia="Simplified Arabic" w:hAnsi="Traditional Arabic" w:cs="Traditional Arabic"/>
          <w:sz w:val="32"/>
          <w:szCs w:val="32"/>
          <w:rtl/>
        </w:rPr>
        <w:t>بطلب من الأطراف المذكورة بالمادة 52 من المرسوم .10-93</w:t>
      </w:r>
    </w:p>
    <w:p w:rsidR="00FB0B96" w:rsidRPr="00FB0B96" w:rsidRDefault="00FB0B96" w:rsidP="00FB0B96">
      <w:pPr>
        <w:bidi/>
        <w:spacing w:after="0" w:line="240" w:lineRule="auto"/>
        <w:ind w:firstLine="4"/>
        <w:jc w:val="both"/>
        <w:rPr>
          <w:rFonts w:ascii="Traditional Arabic" w:eastAsia="Simplified Arabic" w:hAnsi="Traditional Arabic" w:cs="Traditional Arabic"/>
          <w:sz w:val="32"/>
          <w:szCs w:val="32"/>
          <w:rtl/>
        </w:rPr>
      </w:pPr>
      <w:r w:rsidRPr="00FB0B96">
        <w:rPr>
          <w:rFonts w:ascii="Traditional Arabic" w:eastAsia="Simplified Arabic" w:hAnsi="Traditional Arabic" w:cs="Traditional Arabic"/>
          <w:sz w:val="32"/>
          <w:szCs w:val="32"/>
        </w:rPr>
        <w:t>*</w:t>
      </w:r>
      <w:r w:rsidRPr="00FB0B96">
        <w:rPr>
          <w:rFonts w:ascii="Traditional Arabic" w:eastAsia="Simplified Arabic" w:hAnsi="Traditional Arabic" w:cs="Traditional Arabic"/>
          <w:sz w:val="32"/>
          <w:szCs w:val="32"/>
        </w:rPr>
        <w:tab/>
      </w:r>
      <w:r w:rsidRPr="00FB0B96">
        <w:rPr>
          <w:rFonts w:ascii="Traditional Arabic" w:eastAsia="Simplified Arabic" w:hAnsi="Traditional Arabic" w:cs="Traditional Arabic"/>
          <w:sz w:val="32"/>
          <w:szCs w:val="32"/>
          <w:rtl/>
        </w:rPr>
        <w:t>بناء على تظلم من أي طرف له مصلحة</w:t>
      </w:r>
      <w:r w:rsidRPr="00FB0B96">
        <w:rPr>
          <w:rFonts w:ascii="Traditional Arabic" w:eastAsia="Simplified Arabic" w:hAnsi="Traditional Arabic" w:cs="Traditional Arabic"/>
          <w:sz w:val="32"/>
          <w:szCs w:val="32"/>
        </w:rPr>
        <w:t>.</w:t>
      </w:r>
    </w:p>
    <w:p w:rsidR="00FB0B96" w:rsidRPr="00FB0B96" w:rsidRDefault="00FB0B96" w:rsidP="00FB0B96">
      <w:pPr>
        <w:bidi/>
        <w:spacing w:after="0" w:line="240" w:lineRule="auto"/>
        <w:ind w:firstLine="4"/>
        <w:jc w:val="both"/>
        <w:rPr>
          <w:rFonts w:ascii="Traditional Arabic" w:eastAsia="Simplified Arabic" w:hAnsi="Traditional Arabic" w:cs="Traditional Arabic"/>
          <w:sz w:val="32"/>
          <w:szCs w:val="32"/>
          <w:rtl/>
        </w:rPr>
      </w:pPr>
      <w:r w:rsidRPr="00FB0B96">
        <w:rPr>
          <w:rFonts w:ascii="Traditional Arabic" w:eastAsia="Simplified Arabic" w:hAnsi="Traditional Arabic" w:cs="Traditional Arabic"/>
          <w:sz w:val="32"/>
          <w:szCs w:val="32"/>
          <w:rtl/>
        </w:rPr>
        <w:t>أما العقوبات التي تصدرها الغرفة في مجال التأديب فهي حسب درجة المخالفة كالآتي</w:t>
      </w:r>
      <w:r w:rsidRPr="00FB0B96">
        <w:rPr>
          <w:rFonts w:ascii="Traditional Arabic" w:eastAsia="Simplified Arabic" w:hAnsi="Traditional Arabic" w:cs="Traditional Arabic"/>
          <w:sz w:val="32"/>
          <w:szCs w:val="32"/>
        </w:rPr>
        <w:t>:</w:t>
      </w:r>
    </w:p>
    <w:p w:rsidR="00FB0B96" w:rsidRPr="00FB0B96" w:rsidRDefault="00FB0B96" w:rsidP="00FB0B96">
      <w:pPr>
        <w:bidi/>
        <w:spacing w:after="0" w:line="240" w:lineRule="auto"/>
        <w:ind w:firstLine="4"/>
        <w:jc w:val="both"/>
        <w:rPr>
          <w:rFonts w:ascii="Traditional Arabic" w:eastAsia="Simplified Arabic" w:hAnsi="Traditional Arabic" w:cs="Traditional Arabic"/>
          <w:sz w:val="32"/>
          <w:szCs w:val="32"/>
          <w:rtl/>
        </w:rPr>
      </w:pPr>
      <w:r w:rsidRPr="00FB0B96">
        <w:rPr>
          <w:rFonts w:ascii="Traditional Arabic" w:eastAsia="Simplified Arabic" w:hAnsi="Traditional Arabic" w:cs="Traditional Arabic"/>
          <w:sz w:val="32"/>
          <w:szCs w:val="32"/>
        </w:rPr>
        <w:t>-</w:t>
      </w:r>
      <w:r w:rsidRPr="00FB0B96">
        <w:rPr>
          <w:rFonts w:ascii="Traditional Arabic" w:eastAsia="Simplified Arabic" w:hAnsi="Traditional Arabic" w:cs="Traditional Arabic"/>
          <w:sz w:val="32"/>
          <w:szCs w:val="32"/>
        </w:rPr>
        <w:tab/>
      </w:r>
      <w:r w:rsidRPr="00FB0B96">
        <w:rPr>
          <w:rFonts w:ascii="Traditional Arabic" w:eastAsia="Simplified Arabic" w:hAnsi="Traditional Arabic" w:cs="Traditional Arabic"/>
          <w:sz w:val="32"/>
          <w:szCs w:val="32"/>
          <w:rtl/>
        </w:rPr>
        <w:t>الإنذار</w:t>
      </w:r>
      <w:r w:rsidRPr="00FB0B96">
        <w:rPr>
          <w:rFonts w:ascii="Traditional Arabic" w:eastAsia="Simplified Arabic" w:hAnsi="Traditional Arabic" w:cs="Traditional Arabic"/>
          <w:sz w:val="32"/>
          <w:szCs w:val="32"/>
        </w:rPr>
        <w:t>.</w:t>
      </w:r>
    </w:p>
    <w:p w:rsidR="00FB0B96" w:rsidRPr="00FB0B96" w:rsidRDefault="00FB0B96" w:rsidP="00FB0B96">
      <w:pPr>
        <w:bidi/>
        <w:spacing w:after="0" w:line="240" w:lineRule="auto"/>
        <w:ind w:firstLine="4"/>
        <w:jc w:val="both"/>
        <w:rPr>
          <w:rFonts w:ascii="Traditional Arabic" w:eastAsia="Simplified Arabic" w:hAnsi="Traditional Arabic" w:cs="Traditional Arabic"/>
          <w:sz w:val="32"/>
          <w:szCs w:val="32"/>
          <w:rtl/>
        </w:rPr>
      </w:pPr>
      <w:r w:rsidRPr="00FB0B96">
        <w:rPr>
          <w:rFonts w:ascii="Traditional Arabic" w:eastAsia="Simplified Arabic" w:hAnsi="Traditional Arabic" w:cs="Traditional Arabic"/>
          <w:sz w:val="32"/>
          <w:szCs w:val="32"/>
        </w:rPr>
        <w:t>-</w:t>
      </w:r>
      <w:r w:rsidRPr="00FB0B96">
        <w:rPr>
          <w:rFonts w:ascii="Traditional Arabic" w:eastAsia="Simplified Arabic" w:hAnsi="Traditional Arabic" w:cs="Traditional Arabic"/>
          <w:sz w:val="32"/>
          <w:szCs w:val="32"/>
        </w:rPr>
        <w:tab/>
      </w:r>
      <w:r w:rsidRPr="00FB0B96">
        <w:rPr>
          <w:rFonts w:ascii="Traditional Arabic" w:eastAsia="Simplified Arabic" w:hAnsi="Traditional Arabic" w:cs="Traditional Arabic"/>
          <w:sz w:val="32"/>
          <w:szCs w:val="32"/>
          <w:rtl/>
        </w:rPr>
        <w:t>التوبيخ</w:t>
      </w:r>
      <w:r w:rsidRPr="00FB0B96">
        <w:rPr>
          <w:rFonts w:ascii="Traditional Arabic" w:eastAsia="Simplified Arabic" w:hAnsi="Traditional Arabic" w:cs="Traditional Arabic"/>
          <w:sz w:val="32"/>
          <w:szCs w:val="32"/>
        </w:rPr>
        <w:t>.</w:t>
      </w:r>
    </w:p>
    <w:p w:rsidR="00FB0B96" w:rsidRPr="00FB0B96" w:rsidRDefault="00FB0B96" w:rsidP="00FB0B96">
      <w:pPr>
        <w:bidi/>
        <w:spacing w:after="0" w:line="240" w:lineRule="auto"/>
        <w:ind w:firstLine="4"/>
        <w:jc w:val="both"/>
        <w:rPr>
          <w:rFonts w:ascii="Traditional Arabic" w:eastAsia="Simplified Arabic" w:hAnsi="Traditional Arabic" w:cs="Traditional Arabic"/>
          <w:sz w:val="32"/>
          <w:szCs w:val="32"/>
          <w:rtl/>
        </w:rPr>
      </w:pPr>
      <w:r w:rsidRPr="00FB0B96">
        <w:rPr>
          <w:rFonts w:ascii="Traditional Arabic" w:eastAsia="Simplified Arabic" w:hAnsi="Traditional Arabic" w:cs="Traditional Arabic"/>
          <w:sz w:val="32"/>
          <w:szCs w:val="32"/>
          <w:rtl/>
        </w:rPr>
        <w:t>-</w:t>
      </w:r>
      <w:r w:rsidRPr="00FB0B96">
        <w:rPr>
          <w:rFonts w:ascii="Traditional Arabic" w:eastAsia="Simplified Arabic" w:hAnsi="Traditional Arabic" w:cs="Traditional Arabic"/>
          <w:sz w:val="32"/>
          <w:szCs w:val="32"/>
          <w:rtl/>
        </w:rPr>
        <w:tab/>
        <w:t>حظر النشاط كله أو جزئه مؤقتا أو كليا.</w:t>
      </w:r>
    </w:p>
    <w:p w:rsidR="00FB0B96" w:rsidRPr="00FB0B96" w:rsidRDefault="00FB0B96" w:rsidP="00FB0B96">
      <w:pPr>
        <w:numPr>
          <w:ilvl w:val="0"/>
          <w:numId w:val="10"/>
        </w:numPr>
        <w:tabs>
          <w:tab w:val="left" w:pos="266"/>
        </w:tabs>
        <w:bidi/>
        <w:spacing w:after="0" w:line="240" w:lineRule="auto"/>
        <w:ind w:right="266" w:hanging="266"/>
        <w:jc w:val="both"/>
        <w:rPr>
          <w:rFonts w:ascii="Traditional Arabic" w:eastAsia="Simplified Arabic" w:hAnsi="Traditional Arabic" w:cs="Traditional Arabic"/>
          <w:sz w:val="32"/>
          <w:szCs w:val="32"/>
          <w:rtl/>
        </w:rPr>
      </w:pPr>
      <w:r w:rsidRPr="00FB0B96">
        <w:rPr>
          <w:rFonts w:ascii="Traditional Arabic" w:eastAsia="Simplified Arabic" w:hAnsi="Traditional Arabic" w:cs="Traditional Arabic"/>
          <w:sz w:val="32"/>
          <w:szCs w:val="32"/>
          <w:rtl/>
        </w:rPr>
        <w:t xml:space="preserve">سحب الاعتماد.و أو فرض غرامات مالية تحدد إما على أساس قيمة المبلغ المحتمل تحقيقه من جراء المخالفة أو الخطأ المرتكب، أو تحدد بضعف قيمة الورقة المالية المعنية بالمخالفة أو أن قيمة الغرامة في بعض الأحيان تقدر بقيمة عشرة ( </w:t>
      </w:r>
      <w:r w:rsidRPr="00FB0B96">
        <w:rPr>
          <w:rFonts w:ascii="Traditional Arabic" w:eastAsia="Simplified Arabic" w:hAnsi="Traditional Arabic" w:cs="Traditional Arabic"/>
          <w:sz w:val="32"/>
          <w:szCs w:val="32"/>
        </w:rPr>
        <w:t>( 10</w:t>
      </w:r>
      <w:r w:rsidRPr="00FB0B96">
        <w:rPr>
          <w:rFonts w:ascii="Traditional Arabic" w:eastAsia="Simplified Arabic" w:hAnsi="Traditional Arabic" w:cs="Traditional Arabic"/>
          <w:sz w:val="32"/>
          <w:szCs w:val="32"/>
          <w:rtl/>
        </w:rPr>
        <w:t xml:space="preserve"> ماليين دينار جزائري تدفع الى صندوق الضمان المحدد بالمادة </w:t>
      </w:r>
      <w:r w:rsidRPr="00FB0B96">
        <w:rPr>
          <w:rFonts w:ascii="Traditional Arabic" w:eastAsia="Simplified Arabic" w:hAnsi="Traditional Arabic" w:cs="Traditional Arabic"/>
          <w:sz w:val="32"/>
          <w:szCs w:val="32"/>
        </w:rPr>
        <w:t>64</w:t>
      </w:r>
      <w:r w:rsidRPr="00FB0B96">
        <w:rPr>
          <w:rFonts w:ascii="Traditional Arabic" w:eastAsia="Simplified Arabic" w:hAnsi="Traditional Arabic" w:cs="Traditional Arabic"/>
          <w:sz w:val="32"/>
          <w:szCs w:val="32"/>
          <w:rtl/>
        </w:rPr>
        <w:t xml:space="preserve"> من المرسوم التشريعي </w:t>
      </w:r>
      <w:r w:rsidRPr="00FB0B96">
        <w:rPr>
          <w:rFonts w:ascii="Traditional Arabic" w:eastAsia="Simplified Arabic" w:hAnsi="Traditional Arabic" w:cs="Traditional Arabic"/>
          <w:sz w:val="32"/>
          <w:szCs w:val="32"/>
        </w:rPr>
        <w:t>.10-93</w:t>
      </w:r>
    </w:p>
    <w:p w:rsidR="00FB0B96" w:rsidRPr="00FB0B96" w:rsidRDefault="00FB0B96" w:rsidP="00FB0B96">
      <w:pPr>
        <w:bidi/>
        <w:spacing w:after="0" w:line="240" w:lineRule="auto"/>
        <w:ind w:right="6" w:firstLine="720"/>
        <w:jc w:val="both"/>
        <w:rPr>
          <w:rFonts w:ascii="Traditional Arabic" w:eastAsia="Simplified Arabic" w:hAnsi="Traditional Arabic" w:cs="Traditional Arabic"/>
          <w:sz w:val="32"/>
          <w:szCs w:val="32"/>
          <w:rtl/>
        </w:rPr>
      </w:pPr>
      <w:r w:rsidRPr="00FB0B96">
        <w:rPr>
          <w:rFonts w:ascii="Traditional Arabic" w:eastAsia="Simplified Arabic" w:hAnsi="Traditional Arabic" w:cs="Traditional Arabic"/>
          <w:sz w:val="32"/>
          <w:szCs w:val="32"/>
          <w:rtl/>
        </w:rPr>
        <w:lastRenderedPageBreak/>
        <w:t xml:space="preserve">ولا تصدر الغرفة العقوبة ما لم يتم الاستماع الى الممثل المؤهل للمتهم أو ما لم يدع قانونا للاستماع إليه، وتعد قرارات اللجنة هنا قابلة للطعن بالإلغاء امام مجلس الدولة خلال شهر واحد من تاريخ تبليغ القرار موضوع الاحتجاج على ان يتم البت فيه خلال أجل ستة </w:t>
      </w:r>
      <w:r w:rsidRPr="00FB0B96">
        <w:rPr>
          <w:rFonts w:ascii="Traditional Arabic" w:eastAsia="Simplified Arabic" w:hAnsi="Traditional Arabic" w:cs="Traditional Arabic"/>
          <w:sz w:val="32"/>
          <w:szCs w:val="32"/>
        </w:rPr>
        <w:t>6</w:t>
      </w:r>
      <w:r w:rsidRPr="00FB0B96">
        <w:rPr>
          <w:rFonts w:ascii="Traditional Arabic" w:eastAsia="Simplified Arabic" w:hAnsi="Traditional Arabic" w:cs="Traditional Arabic"/>
          <w:sz w:val="32"/>
          <w:szCs w:val="32"/>
          <w:rtl/>
        </w:rPr>
        <w:t xml:space="preserve"> اشهر من تاريخ تسجيله. اما بالنسبة للمخالفات الأخرى ترفع أمام الجهات القضائية المختصة العادية.</w:t>
      </w:r>
      <w:r>
        <w:rPr>
          <w:rStyle w:val="Appeldenotedefin"/>
          <w:rFonts w:ascii="Traditional Arabic" w:eastAsia="Simplified Arabic" w:hAnsi="Traditional Arabic" w:cs="Traditional Arabic"/>
          <w:sz w:val="32"/>
          <w:szCs w:val="32"/>
          <w:rtl/>
        </w:rPr>
        <w:endnoteReference w:id="1"/>
      </w:r>
    </w:p>
    <w:p w:rsidR="00FB0B96" w:rsidRPr="00FB0B96" w:rsidRDefault="00FB0B96" w:rsidP="00FB0B96">
      <w:pPr>
        <w:bidi/>
        <w:spacing w:after="0" w:line="240" w:lineRule="auto"/>
        <w:jc w:val="both"/>
        <w:rPr>
          <w:rFonts w:ascii="Traditional Arabic" w:hAnsi="Traditional Arabic" w:cs="Traditional Arabic"/>
          <w:sz w:val="32"/>
          <w:szCs w:val="32"/>
          <w:rtl/>
        </w:rPr>
      </w:pPr>
    </w:p>
    <w:p w:rsidR="00FB0B96" w:rsidRPr="00FB0B96" w:rsidRDefault="00FB0B96" w:rsidP="00FB0B96">
      <w:pPr>
        <w:bidi/>
        <w:spacing w:after="0" w:line="240" w:lineRule="auto"/>
        <w:jc w:val="both"/>
        <w:rPr>
          <w:rFonts w:ascii="Traditional Arabic" w:hAnsi="Traditional Arabic" w:cs="Traditional Arabic"/>
          <w:sz w:val="32"/>
          <w:szCs w:val="32"/>
          <w:rtl/>
        </w:rPr>
      </w:pPr>
    </w:p>
    <w:p w:rsidR="0099388E" w:rsidRPr="00FB0B96" w:rsidRDefault="0099388E" w:rsidP="00FB0B96">
      <w:pPr>
        <w:bidi/>
        <w:spacing w:after="0" w:line="240" w:lineRule="auto"/>
        <w:jc w:val="both"/>
        <w:rPr>
          <w:rFonts w:ascii="Traditional Arabic" w:hAnsi="Traditional Arabic" w:cs="Traditional Arabic"/>
          <w:sz w:val="32"/>
          <w:szCs w:val="32"/>
        </w:rPr>
      </w:pPr>
    </w:p>
    <w:sectPr w:rsidR="0099388E" w:rsidRPr="00FB0B96" w:rsidSect="00EE6B71">
      <w:endnotePr>
        <w:numFmt w:val="decimal"/>
      </w:endnotePr>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46D" w:rsidRDefault="00D8146D" w:rsidP="003C4B4A">
      <w:pPr>
        <w:spacing w:after="0" w:line="240" w:lineRule="auto"/>
      </w:pPr>
      <w:r>
        <w:separator/>
      </w:r>
    </w:p>
  </w:endnote>
  <w:endnote w:type="continuationSeparator" w:id="0">
    <w:p w:rsidR="00D8146D" w:rsidRDefault="00D8146D" w:rsidP="003C4B4A">
      <w:pPr>
        <w:spacing w:after="0" w:line="240" w:lineRule="auto"/>
      </w:pPr>
      <w:r>
        <w:continuationSeparator/>
      </w:r>
    </w:p>
  </w:endnote>
  <w:endnote w:id="1">
    <w:p w:rsidR="002450D0" w:rsidRDefault="00FB0B96" w:rsidP="002450D0">
      <w:pPr>
        <w:tabs>
          <w:tab w:val="left" w:pos="1510"/>
          <w:tab w:val="center" w:pos="4321"/>
        </w:tabs>
        <w:bidi/>
        <w:spacing w:after="0" w:line="240" w:lineRule="auto"/>
        <w:ind w:left="-2" w:right="426"/>
        <w:rPr>
          <w:rFonts w:ascii="Traditional Arabic" w:eastAsia="Traditional Arabic" w:hAnsi="Traditional Arabic" w:cs="Traditional Arabic"/>
          <w:b/>
          <w:bCs/>
          <w:sz w:val="32"/>
          <w:szCs w:val="32"/>
        </w:rPr>
      </w:pPr>
      <w:r>
        <w:rPr>
          <w:rStyle w:val="Appeldenotedefin"/>
        </w:rPr>
        <w:endnoteRef/>
      </w:r>
      <w:r>
        <w:t xml:space="preserve"> </w:t>
      </w:r>
      <w:r w:rsidR="002450D0">
        <w:rPr>
          <w:rFonts w:ascii="Traditional Arabic" w:hAnsi="Traditional Arabic" w:cs="Traditional Arabic"/>
          <w:b/>
          <w:bCs/>
          <w:sz w:val="32"/>
          <w:szCs w:val="32"/>
          <w:rtl/>
          <w:lang w:bidi="ar-DZ"/>
        </w:rPr>
        <w:t xml:space="preserve">- مطبوعة : د/بن جمعة أمينة، </w:t>
      </w:r>
      <w:r w:rsidR="002450D0">
        <w:rPr>
          <w:rFonts w:ascii="Traditional Arabic" w:eastAsia="Traditional Arabic" w:hAnsi="Traditional Arabic" w:cs="Traditional Arabic"/>
          <w:b/>
          <w:bCs/>
          <w:sz w:val="32"/>
          <w:szCs w:val="32"/>
          <w:rtl/>
        </w:rPr>
        <w:t>جامعـة</w:t>
      </w:r>
      <w:r w:rsidR="002450D0">
        <w:rPr>
          <w:rFonts w:ascii="Traditional Arabic" w:eastAsia="Traditional Arabic" w:hAnsi="Traditional Arabic" w:cs="Traditional Arabic"/>
          <w:b/>
          <w:bCs/>
          <w:sz w:val="32"/>
          <w:szCs w:val="32"/>
        </w:rPr>
        <w:t xml:space="preserve"> </w:t>
      </w:r>
      <w:r w:rsidR="002450D0">
        <w:rPr>
          <w:rFonts w:ascii="Traditional Arabic" w:eastAsia="Traditional Arabic" w:hAnsi="Traditional Arabic" w:cs="Traditional Arabic"/>
          <w:b/>
          <w:bCs/>
          <w:sz w:val="32"/>
          <w:szCs w:val="32"/>
          <w:rtl/>
        </w:rPr>
        <w:t>عباس</w:t>
      </w:r>
      <w:r w:rsidR="002450D0">
        <w:rPr>
          <w:rFonts w:ascii="Traditional Arabic" w:eastAsia="Traditional Arabic" w:hAnsi="Traditional Arabic" w:cs="Traditional Arabic"/>
          <w:b/>
          <w:bCs/>
          <w:sz w:val="32"/>
          <w:szCs w:val="32"/>
        </w:rPr>
        <w:t xml:space="preserve"> </w:t>
      </w:r>
      <w:r w:rsidR="002450D0">
        <w:rPr>
          <w:rFonts w:ascii="Traditional Arabic" w:eastAsia="Traditional Arabic" w:hAnsi="Traditional Arabic" w:cs="Traditional Arabic"/>
          <w:b/>
          <w:bCs/>
          <w:sz w:val="32"/>
          <w:szCs w:val="32"/>
          <w:rtl/>
        </w:rPr>
        <w:t>لغرور</w:t>
      </w:r>
      <w:r w:rsidR="002450D0">
        <w:rPr>
          <w:rFonts w:ascii="Traditional Arabic" w:eastAsia="Traditional Arabic" w:hAnsi="Traditional Arabic" w:cs="Traditional Arabic"/>
          <w:b/>
          <w:bCs/>
          <w:sz w:val="32"/>
          <w:szCs w:val="32"/>
        </w:rPr>
        <w:t xml:space="preserve"> </w:t>
      </w:r>
      <w:r w:rsidR="002450D0">
        <w:rPr>
          <w:rFonts w:ascii="Traditional Arabic" w:eastAsia="Traditional Arabic" w:hAnsi="Traditional Arabic" w:cs="Traditional Arabic"/>
          <w:b/>
          <w:bCs/>
          <w:sz w:val="32"/>
          <w:szCs w:val="32"/>
          <w:rtl/>
        </w:rPr>
        <w:t>خنشلة</w:t>
      </w:r>
    </w:p>
    <w:p w:rsidR="00FB0B96" w:rsidRPr="002450D0" w:rsidRDefault="00FB0B96" w:rsidP="00FB0B96">
      <w:pPr>
        <w:pStyle w:val="Notedefin"/>
        <w:bidi/>
        <w:rPr>
          <w:rtl/>
          <w:lang w:bidi="ar-DZ"/>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46D" w:rsidRDefault="00D8146D" w:rsidP="003C4B4A">
      <w:pPr>
        <w:spacing w:after="0" w:line="240" w:lineRule="auto"/>
      </w:pPr>
      <w:r>
        <w:separator/>
      </w:r>
    </w:p>
  </w:footnote>
  <w:footnote w:type="continuationSeparator" w:id="0">
    <w:p w:rsidR="00D8146D" w:rsidRDefault="00D8146D" w:rsidP="003C4B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684A48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749ABB4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3DC240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1BA02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9"/>
    <w:multiLevelType w:val="hybridMultilevel"/>
    <w:tmpl w:val="12E685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A"/>
    <w:multiLevelType w:val="hybridMultilevel"/>
    <w:tmpl w:val="70C6A5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D"/>
    <w:multiLevelType w:val="hybridMultilevel"/>
    <w:tmpl w:val="4F4EF0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E"/>
    <w:multiLevelType w:val="hybridMultilevel"/>
    <w:tmpl w:val="23F9C1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F"/>
    <w:multiLevelType w:val="hybridMultilevel"/>
    <w:tmpl w:val="649BB7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8"/>
    <w:multiLevelType w:val="hybridMultilevel"/>
    <w:tmpl w:val="741226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B71"/>
    <w:rsid w:val="000C39F9"/>
    <w:rsid w:val="001100E9"/>
    <w:rsid w:val="00187691"/>
    <w:rsid w:val="002450D0"/>
    <w:rsid w:val="002D6959"/>
    <w:rsid w:val="003C4B4A"/>
    <w:rsid w:val="004B2EA1"/>
    <w:rsid w:val="005C630C"/>
    <w:rsid w:val="00853226"/>
    <w:rsid w:val="00902403"/>
    <w:rsid w:val="009202AD"/>
    <w:rsid w:val="00941AA6"/>
    <w:rsid w:val="00966EF0"/>
    <w:rsid w:val="0099388E"/>
    <w:rsid w:val="00A70524"/>
    <w:rsid w:val="00AA154D"/>
    <w:rsid w:val="00B02E53"/>
    <w:rsid w:val="00BF7869"/>
    <w:rsid w:val="00CC2600"/>
    <w:rsid w:val="00D8146D"/>
    <w:rsid w:val="00E129B0"/>
    <w:rsid w:val="00E24557"/>
    <w:rsid w:val="00E7284C"/>
    <w:rsid w:val="00EC24F5"/>
    <w:rsid w:val="00EE5388"/>
    <w:rsid w:val="00EE6B71"/>
    <w:rsid w:val="00FB0B9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7281B6-BED7-43B7-B8D9-9B7A323B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B71"/>
    <w:pPr>
      <w:spacing w:after="160" w:line="259" w:lineRule="auto"/>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3C4B4A"/>
    <w:pPr>
      <w:spacing w:after="0" w:line="240" w:lineRule="auto"/>
    </w:pPr>
    <w:rPr>
      <w:sz w:val="20"/>
      <w:szCs w:val="20"/>
    </w:rPr>
  </w:style>
  <w:style w:type="character" w:customStyle="1" w:styleId="NotedefinCar">
    <w:name w:val="Note de fin Car"/>
    <w:basedOn w:val="Policepardfaut"/>
    <w:link w:val="Notedefin"/>
    <w:uiPriority w:val="99"/>
    <w:semiHidden/>
    <w:rsid w:val="003C4B4A"/>
    <w:rPr>
      <w:sz w:val="20"/>
      <w:szCs w:val="20"/>
    </w:rPr>
  </w:style>
  <w:style w:type="character" w:styleId="Appeldenotedefin">
    <w:name w:val="endnote reference"/>
    <w:basedOn w:val="Policepardfaut"/>
    <w:uiPriority w:val="99"/>
    <w:semiHidden/>
    <w:unhideWhenUsed/>
    <w:rsid w:val="003C4B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78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D629B-68AD-4178-9471-10C8906FE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1156</Words>
  <Characters>6359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Serhane</dc:creator>
  <cp:lastModifiedBy>naamane</cp:lastModifiedBy>
  <cp:revision>2</cp:revision>
  <dcterms:created xsi:type="dcterms:W3CDTF">2022-04-23T22:10:00Z</dcterms:created>
  <dcterms:modified xsi:type="dcterms:W3CDTF">2022-04-23T22:10:00Z</dcterms:modified>
</cp:coreProperties>
</file>