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DD" w:rsidRDefault="000812DD" w:rsidP="000812DD">
      <w:pPr>
        <w:pStyle w:val="Paragraphedeliste"/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</w:t>
      </w:r>
      <w:r w:rsidRPr="000812DD">
        <w:rPr>
          <w:rFonts w:asciiTheme="majorBidi" w:hAnsiTheme="majorBidi" w:cstheme="majorBidi"/>
          <w:b/>
          <w:bCs/>
          <w:sz w:val="32"/>
          <w:szCs w:val="32"/>
        </w:rPr>
        <w:t xml:space="preserve">Etude du métabolisme glucidique </w:t>
      </w:r>
    </w:p>
    <w:p w:rsidR="005D330D" w:rsidRPr="000812DD" w:rsidRDefault="005D330D" w:rsidP="000812DD">
      <w:pPr>
        <w:pStyle w:val="Paragraphedeliste"/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F4972" w:rsidRPr="000812DD" w:rsidRDefault="000234F7" w:rsidP="000812DD">
      <w:pPr>
        <w:pStyle w:val="Paragraphedeliste"/>
        <w:numPr>
          <w:ilvl w:val="0"/>
          <w:numId w:val="7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>Auxanogramme</w:t>
      </w:r>
    </w:p>
    <w:p w:rsidR="00C47C22" w:rsidRPr="00C47C22" w:rsidRDefault="00C47C22" w:rsidP="004F4972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47C2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Intérêt </w:t>
      </w:r>
    </w:p>
    <w:p w:rsidR="00C47C22" w:rsidRPr="000234F7" w:rsidRDefault="000234F7" w:rsidP="000234F7">
      <w:pPr>
        <w:jc w:val="both"/>
        <w:rPr>
          <w:rFonts w:asciiTheme="majorBidi" w:hAnsiTheme="majorBidi" w:cstheme="majorBidi"/>
          <w:sz w:val="24"/>
          <w:szCs w:val="24"/>
        </w:rPr>
      </w:pPr>
      <w:r w:rsidRPr="000234F7">
        <w:rPr>
          <w:rFonts w:asciiTheme="majorBidi" w:hAnsiTheme="majorBidi" w:cstheme="majorBidi"/>
          <w:sz w:val="24"/>
          <w:szCs w:val="24"/>
        </w:rPr>
        <w:t>L’auxanogramme</w:t>
      </w:r>
      <w:r>
        <w:rPr>
          <w:rFonts w:asciiTheme="majorBidi" w:hAnsiTheme="majorBidi" w:cstheme="majorBidi"/>
          <w:sz w:val="24"/>
          <w:szCs w:val="24"/>
        </w:rPr>
        <w:t> </w:t>
      </w:r>
      <w:r w:rsidR="000812DD">
        <w:rPr>
          <w:rFonts w:asciiTheme="majorBidi" w:hAnsiTheme="majorBidi" w:cstheme="majorBidi"/>
          <w:sz w:val="24"/>
          <w:szCs w:val="24"/>
        </w:rPr>
        <w:t>c’est</w:t>
      </w:r>
      <w:r>
        <w:rPr>
          <w:rFonts w:asciiTheme="majorBidi" w:hAnsiTheme="majorBidi" w:cstheme="majorBidi"/>
          <w:sz w:val="24"/>
          <w:szCs w:val="24"/>
        </w:rPr>
        <w:t xml:space="preserve"> l’</w:t>
      </w:r>
      <w:r w:rsidRPr="000234F7">
        <w:rPr>
          <w:rFonts w:asciiTheme="majorBidi" w:hAnsiTheme="majorBidi" w:cstheme="majorBidi"/>
          <w:sz w:val="24"/>
          <w:szCs w:val="24"/>
        </w:rPr>
        <w:t>étude d’une gamme de sucres dégradables par la bactérie (en milieu liquide). Son but est de déterminer la capacité de la bactérie à dégrader un sucre donné mis dans un milieu de base, et ce, en produisant de l'acide.</w:t>
      </w:r>
    </w:p>
    <w:p w:rsidR="000234F7" w:rsidRPr="000812DD" w:rsidRDefault="000234F7" w:rsidP="000234F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Composition </w:t>
      </w:r>
    </w:p>
    <w:tbl>
      <w:tblPr>
        <w:tblStyle w:val="Grilledutableau"/>
        <w:tblW w:w="9889" w:type="dxa"/>
        <w:tblLook w:val="04A0"/>
      </w:tblPr>
      <w:tblGrid>
        <w:gridCol w:w="3070"/>
        <w:gridCol w:w="3071"/>
        <w:gridCol w:w="3748"/>
      </w:tblGrid>
      <w:tr w:rsidR="000234F7" w:rsidRPr="000812DD" w:rsidTr="00F6263B">
        <w:tc>
          <w:tcPr>
            <w:tcW w:w="3070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3071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  <w:tc>
          <w:tcPr>
            <w:tcW w:w="3748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0234F7" w:rsidRPr="000812DD" w:rsidTr="00F6263B">
        <w:tc>
          <w:tcPr>
            <w:tcW w:w="3070" w:type="dxa"/>
          </w:tcPr>
          <w:p w:rsidR="000234F7" w:rsidRPr="000812DD" w:rsidRDefault="000234F7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Peptone</w:t>
            </w:r>
          </w:p>
        </w:tc>
        <w:tc>
          <w:tcPr>
            <w:tcW w:w="3071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Apport de facteur de croissance</w:t>
            </w:r>
          </w:p>
        </w:tc>
      </w:tr>
      <w:tr w:rsidR="000234F7" w:rsidRPr="000812DD" w:rsidTr="00F6263B">
        <w:tc>
          <w:tcPr>
            <w:tcW w:w="3070" w:type="dxa"/>
          </w:tcPr>
          <w:p w:rsidR="000234F7" w:rsidRPr="000812DD" w:rsidRDefault="000234F7" w:rsidP="005D33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Glucide à étudier (fructose, galactose, lactose et saccharose)</w:t>
            </w:r>
          </w:p>
        </w:tc>
        <w:tc>
          <w:tcPr>
            <w:tcW w:w="3071" w:type="dxa"/>
          </w:tcPr>
          <w:p w:rsidR="000234F7" w:rsidRPr="000812DD" w:rsidRDefault="000234F7" w:rsidP="00031E2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748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Source de C et énergie</w:t>
            </w:r>
          </w:p>
        </w:tc>
      </w:tr>
      <w:tr w:rsidR="000234F7" w:rsidRPr="000812DD" w:rsidTr="00F6263B">
        <w:tc>
          <w:tcPr>
            <w:tcW w:w="3070" w:type="dxa"/>
          </w:tcPr>
          <w:p w:rsidR="000234F7" w:rsidRPr="000812DD" w:rsidRDefault="000234F7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NaCl</w:t>
            </w:r>
          </w:p>
        </w:tc>
        <w:tc>
          <w:tcPr>
            <w:tcW w:w="3071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gélifiant</w:t>
            </w:r>
          </w:p>
        </w:tc>
      </w:tr>
      <w:tr w:rsidR="000234F7" w:rsidRPr="000812DD" w:rsidTr="00F6263B">
        <w:tc>
          <w:tcPr>
            <w:tcW w:w="3070" w:type="dxa"/>
          </w:tcPr>
          <w:p w:rsidR="000234F7" w:rsidRPr="000812DD" w:rsidRDefault="000234F7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Rouge de phénol 1%</w:t>
            </w:r>
          </w:p>
        </w:tc>
        <w:tc>
          <w:tcPr>
            <w:tcW w:w="3071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5mL</w:t>
            </w:r>
          </w:p>
        </w:tc>
        <w:tc>
          <w:tcPr>
            <w:tcW w:w="3748" w:type="dxa"/>
          </w:tcPr>
          <w:p w:rsidR="000234F7" w:rsidRPr="000812DD" w:rsidRDefault="000234F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Indicateur du pH</w:t>
            </w:r>
          </w:p>
        </w:tc>
      </w:tr>
    </w:tbl>
    <w:p w:rsidR="000812DD" w:rsidRPr="000812DD" w:rsidRDefault="000812DD" w:rsidP="000234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234F7" w:rsidRPr="000812DD" w:rsidRDefault="000234F7" w:rsidP="000234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Technique </w:t>
      </w:r>
    </w:p>
    <w:p w:rsidR="000812DD" w:rsidRPr="00031E2D" w:rsidRDefault="000234F7" w:rsidP="00031E2D">
      <w:pPr>
        <w:jc w:val="both"/>
        <w:rPr>
          <w:rFonts w:asciiTheme="majorBidi" w:hAnsiTheme="majorBidi" w:cstheme="majorBidi"/>
          <w:sz w:val="24"/>
          <w:szCs w:val="24"/>
        </w:rPr>
      </w:pPr>
      <w:r w:rsidRPr="000812DD">
        <w:rPr>
          <w:rFonts w:asciiTheme="majorBidi" w:hAnsiTheme="majorBidi" w:cstheme="majorBidi"/>
          <w:sz w:val="24"/>
          <w:szCs w:val="24"/>
        </w:rPr>
        <w:t xml:space="preserve">A partir d'un bouillon de culture, ensemencer des tubes contenant différents sucres  et un indicateur de pH. </w:t>
      </w:r>
    </w:p>
    <w:p w:rsidR="000234F7" w:rsidRPr="000812DD" w:rsidRDefault="000234F7" w:rsidP="000234F7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>Lecture</w:t>
      </w:r>
      <w:r w:rsidR="00031E2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et interprétation</w:t>
      </w:r>
    </w:p>
    <w:p w:rsidR="000234F7" w:rsidRPr="000812DD" w:rsidRDefault="000234F7" w:rsidP="000812DD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12DD">
        <w:rPr>
          <w:rFonts w:asciiTheme="majorBidi" w:hAnsiTheme="majorBidi" w:cstheme="majorBidi"/>
          <w:sz w:val="24"/>
          <w:szCs w:val="24"/>
        </w:rPr>
        <w:t>Réaction positive: pH acide, virage au jaune du rouge de phénol et donc la bactérie a dégradé le sucre présent dans le milieu et qualifiée GLUCIDE +.</w:t>
      </w:r>
    </w:p>
    <w:p w:rsidR="00031E2D" w:rsidRDefault="000234F7" w:rsidP="00031E2D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12DD">
        <w:rPr>
          <w:rFonts w:asciiTheme="majorBidi" w:hAnsiTheme="majorBidi" w:cstheme="majorBidi"/>
          <w:sz w:val="24"/>
          <w:szCs w:val="24"/>
        </w:rPr>
        <w:t>Réaction négative: pH alcalin, virage  au rouge pourpre de l’indicateur de pH et donc la bactérie a utilisé la peptone du milieu et qualifiée de GLUCIDE - .</w:t>
      </w:r>
    </w:p>
    <w:p w:rsidR="00031E2D" w:rsidRPr="00031E2D" w:rsidRDefault="00031E2D" w:rsidP="00031E2D">
      <w:pPr>
        <w:pStyle w:val="Paragraphedeliste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812DD" w:rsidRPr="00031E2D" w:rsidRDefault="000812DD" w:rsidP="00031E2D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b/>
          <w:bCs/>
          <w:sz w:val="24"/>
          <w:szCs w:val="24"/>
        </w:rPr>
        <w:t>Mise en évidence de la voie d’attaque des glucides</w:t>
      </w:r>
    </w:p>
    <w:p w:rsidR="000812DD" w:rsidRPr="009A1A67" w:rsidRDefault="000812DD" w:rsidP="009A1A6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>Le métabolisme fermentatif, favorisé par l'anaérobiose, engendre de </w:t>
      </w:r>
      <w:r w:rsidRPr="00031E2D">
        <w:rPr>
          <w:rFonts w:asciiTheme="majorBidi" w:hAnsiTheme="majorBidi" w:cstheme="majorBidi"/>
          <w:b/>
          <w:bCs/>
          <w:sz w:val="24"/>
          <w:szCs w:val="24"/>
        </w:rPr>
        <w:t>nombreux</w:t>
      </w:r>
      <w:r w:rsidRPr="00031E2D">
        <w:rPr>
          <w:rFonts w:asciiTheme="majorBidi" w:hAnsiTheme="majorBidi" w:cstheme="majorBidi"/>
          <w:sz w:val="24"/>
          <w:szCs w:val="24"/>
        </w:rPr>
        <w:t xml:space="preserve"> produits</w:t>
      </w:r>
      <w:r w:rsidRPr="009A1A67">
        <w:rPr>
          <w:rFonts w:asciiTheme="majorBidi" w:hAnsiTheme="majorBidi" w:cstheme="majorBidi"/>
          <w:sz w:val="24"/>
          <w:szCs w:val="24"/>
        </w:rPr>
        <w:t xml:space="preserve"> acides que l'on pourra détecter grâce à un indicateur de pH.</w:t>
      </w:r>
      <w:r w:rsidR="009A1A67" w:rsidRPr="009A1A67">
        <w:rPr>
          <w:rFonts w:asciiTheme="majorBidi" w:hAnsiTheme="majorBidi" w:cstheme="majorBidi"/>
          <w:sz w:val="24"/>
          <w:szCs w:val="24"/>
        </w:rPr>
        <w:t xml:space="preserve"> </w:t>
      </w:r>
      <w:r w:rsidRPr="009A1A67">
        <w:rPr>
          <w:rFonts w:asciiTheme="majorBidi" w:hAnsiTheme="majorBidi" w:cstheme="majorBidi"/>
          <w:sz w:val="24"/>
          <w:szCs w:val="24"/>
        </w:rPr>
        <w:t>Le métabolisme oxydatif ne donne naissance qu'à de petites quantités d'acides et uniquement lorsque seront présentes de bonnes conditions d'oxygénation.</w:t>
      </w:r>
      <w:r w:rsidR="009A1A67" w:rsidRPr="009A1A67">
        <w:rPr>
          <w:rFonts w:asciiTheme="majorBidi" w:hAnsiTheme="majorBidi" w:cstheme="majorBidi"/>
          <w:sz w:val="24"/>
          <w:szCs w:val="24"/>
        </w:rPr>
        <w:t xml:space="preserve"> Un milieu de culture  réponde</w:t>
      </w:r>
      <w:r w:rsidRPr="009A1A67">
        <w:rPr>
          <w:rFonts w:asciiTheme="majorBidi" w:hAnsiTheme="majorBidi" w:cstheme="majorBidi"/>
          <w:sz w:val="24"/>
          <w:szCs w:val="24"/>
        </w:rPr>
        <w:t xml:space="preserve"> à ces exigences:</w:t>
      </w:r>
      <w:r w:rsidR="009A1A67" w:rsidRPr="009A1A67">
        <w:rPr>
          <w:rFonts w:asciiTheme="majorBidi" w:hAnsiTheme="majorBidi" w:cstheme="majorBidi"/>
          <w:sz w:val="24"/>
          <w:szCs w:val="24"/>
        </w:rPr>
        <w:t xml:space="preserve"> </w:t>
      </w:r>
      <w:r w:rsidRPr="009A1A67">
        <w:rPr>
          <w:rFonts w:asciiTheme="majorBidi" w:hAnsiTheme="majorBidi" w:cstheme="majorBidi"/>
          <w:sz w:val="24"/>
          <w:szCs w:val="24"/>
        </w:rPr>
        <w:t>Milieu de </w:t>
      </w:r>
      <w:r w:rsidRPr="009A1A67">
        <w:rPr>
          <w:rFonts w:asciiTheme="majorBidi" w:hAnsiTheme="majorBidi" w:cstheme="majorBidi"/>
          <w:b/>
          <w:bCs/>
          <w:sz w:val="24"/>
          <w:szCs w:val="24"/>
        </w:rPr>
        <w:t xml:space="preserve">HUGH et LEIFSON </w:t>
      </w:r>
    </w:p>
    <w:p w:rsidR="009A1A67" w:rsidRPr="009A1A67" w:rsidRDefault="009A1A67" w:rsidP="009A1A6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A1A67" w:rsidRDefault="009A1A67" w:rsidP="009A1A6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812DD" w:rsidRPr="009A1A67" w:rsidRDefault="000812DD" w:rsidP="009A1A67">
      <w:pPr>
        <w:jc w:val="both"/>
        <w:rPr>
          <w:rFonts w:asciiTheme="majorBidi" w:hAnsiTheme="majorBidi" w:cstheme="majorBidi"/>
        </w:rPr>
      </w:pPr>
      <w:r w:rsidRPr="004F497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Composition </w:t>
      </w:r>
      <w:r w:rsidR="009A1A67">
        <w:rPr>
          <w:rFonts w:asciiTheme="majorBidi" w:hAnsiTheme="majorBidi" w:cstheme="majorBidi"/>
          <w:b/>
          <w:bCs/>
          <w:sz w:val="24"/>
          <w:szCs w:val="24"/>
          <w:u w:val="single"/>
        </w:rPr>
        <w:t>de milieu</w:t>
      </w:r>
      <w:r w:rsidR="009A1A67" w:rsidRPr="009A1A67">
        <w:rPr>
          <w:rFonts w:asciiTheme="majorBidi" w:hAnsiTheme="majorBidi" w:cstheme="majorBidi"/>
        </w:rPr>
        <w:t xml:space="preserve"> </w:t>
      </w:r>
      <w:r w:rsidR="009A1A67" w:rsidRPr="0077283C">
        <w:rPr>
          <w:rFonts w:asciiTheme="majorBidi" w:hAnsiTheme="majorBidi" w:cstheme="majorBidi"/>
        </w:rPr>
        <w:t>de </w:t>
      </w:r>
      <w:r w:rsidR="009A1A67" w:rsidRPr="0077283C">
        <w:rPr>
          <w:rFonts w:asciiTheme="majorBidi" w:hAnsiTheme="majorBidi" w:cstheme="majorBidi"/>
          <w:b/>
          <w:bCs/>
        </w:rPr>
        <w:t xml:space="preserve">HUGH et LEIFSON </w:t>
      </w:r>
    </w:p>
    <w:tbl>
      <w:tblPr>
        <w:tblStyle w:val="Grilledutableau"/>
        <w:tblW w:w="9889" w:type="dxa"/>
        <w:tblLook w:val="04A0"/>
      </w:tblPr>
      <w:tblGrid>
        <w:gridCol w:w="3794"/>
        <w:gridCol w:w="2347"/>
        <w:gridCol w:w="3748"/>
      </w:tblGrid>
      <w:tr w:rsidR="000812DD" w:rsidTr="009A1A67">
        <w:trPr>
          <w:trHeight w:val="299"/>
        </w:trPr>
        <w:tc>
          <w:tcPr>
            <w:tcW w:w="3794" w:type="dxa"/>
          </w:tcPr>
          <w:p w:rsidR="000812DD" w:rsidRPr="004F4972" w:rsidRDefault="000812DD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2347" w:type="dxa"/>
          </w:tcPr>
          <w:p w:rsidR="000812DD" w:rsidRPr="004F4972" w:rsidRDefault="000812DD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  <w:tc>
          <w:tcPr>
            <w:tcW w:w="3748" w:type="dxa"/>
          </w:tcPr>
          <w:p w:rsidR="000812DD" w:rsidRPr="004F4972" w:rsidRDefault="000812DD" w:rsidP="00F626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0812DD" w:rsidTr="009A1A67">
        <w:tc>
          <w:tcPr>
            <w:tcW w:w="3794" w:type="dxa"/>
          </w:tcPr>
          <w:p w:rsidR="000812DD" w:rsidRPr="004F4972" w:rsidRDefault="000812DD" w:rsidP="009A1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Peptone pancréatique de caséine</w:t>
            </w:r>
          </w:p>
        </w:tc>
        <w:tc>
          <w:tcPr>
            <w:tcW w:w="2347" w:type="dxa"/>
          </w:tcPr>
          <w:p w:rsidR="000812DD" w:rsidRPr="004F4972" w:rsidRDefault="000812DD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de C et N</w:t>
            </w:r>
          </w:p>
        </w:tc>
      </w:tr>
      <w:tr w:rsidR="000812DD" w:rsidTr="009A1A67">
        <w:tc>
          <w:tcPr>
            <w:tcW w:w="3794" w:type="dxa"/>
          </w:tcPr>
          <w:p w:rsidR="000812DD" w:rsidRPr="004F4972" w:rsidRDefault="000812DD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Extrait de levure</w:t>
            </w:r>
          </w:p>
        </w:tc>
        <w:tc>
          <w:tcPr>
            <w:tcW w:w="2347" w:type="dxa"/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0812DD" w:rsidRPr="004F4972" w:rsidRDefault="009A1A67" w:rsidP="009A1A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de C, N, minéraux et vitamine</w:t>
            </w:r>
          </w:p>
        </w:tc>
      </w:tr>
      <w:tr w:rsidR="000812DD" w:rsidTr="009A1A67">
        <w:tc>
          <w:tcPr>
            <w:tcW w:w="3794" w:type="dxa"/>
          </w:tcPr>
          <w:p w:rsidR="000812DD" w:rsidRPr="004F4972" w:rsidRDefault="000812DD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NaCl</w:t>
            </w:r>
          </w:p>
        </w:tc>
        <w:tc>
          <w:tcPr>
            <w:tcW w:w="2347" w:type="dxa"/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Equilibre ionique</w:t>
            </w:r>
          </w:p>
        </w:tc>
      </w:tr>
      <w:tr w:rsidR="000812DD" w:rsidTr="009A1A67">
        <w:trPr>
          <w:trHeight w:val="227"/>
        </w:trPr>
        <w:tc>
          <w:tcPr>
            <w:tcW w:w="3794" w:type="dxa"/>
            <w:tcBorders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Phosphate monopotassique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de P</w:t>
            </w:r>
          </w:p>
        </w:tc>
      </w:tr>
      <w:tr w:rsidR="009A1A67" w:rsidTr="009A1A67">
        <w:trPr>
          <w:trHeight w:val="17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A1A67" w:rsidRDefault="009A1A67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Glucose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9A1A67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9A1A67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de carbone</w:t>
            </w:r>
          </w:p>
        </w:tc>
      </w:tr>
      <w:tr w:rsidR="000812DD" w:rsidTr="009A1A67">
        <w:trPr>
          <w:trHeight w:val="1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Default="000812DD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Bleu de bromothymol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0.03</w:t>
            </w:r>
          </w:p>
        </w:tc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Indicateur de pH</w:t>
            </w:r>
          </w:p>
        </w:tc>
      </w:tr>
      <w:tr w:rsidR="000812DD" w:rsidTr="009A1A67">
        <w:trPr>
          <w:trHeight w:val="2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Default="000812DD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gélifiant</w:t>
            </w:r>
          </w:p>
        </w:tc>
      </w:tr>
      <w:tr w:rsidR="000812DD" w:rsidTr="009A1A67">
        <w:trPr>
          <w:trHeight w:val="123"/>
        </w:trPr>
        <w:tc>
          <w:tcPr>
            <w:tcW w:w="3794" w:type="dxa"/>
            <w:tcBorders>
              <w:top w:val="single" w:sz="4" w:space="0" w:color="auto"/>
            </w:tcBorders>
          </w:tcPr>
          <w:p w:rsidR="000812DD" w:rsidRDefault="000812DD" w:rsidP="00F6263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1L</w:t>
            </w:r>
          </w:p>
        </w:tc>
        <w:tc>
          <w:tcPr>
            <w:tcW w:w="3748" w:type="dxa"/>
            <w:tcBorders>
              <w:top w:val="single" w:sz="4" w:space="0" w:color="auto"/>
            </w:tcBorders>
          </w:tcPr>
          <w:p w:rsidR="000812DD" w:rsidRPr="004F4972" w:rsidRDefault="009A1A67" w:rsidP="00F626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Milieu aqueux</w:t>
            </w:r>
          </w:p>
        </w:tc>
      </w:tr>
    </w:tbl>
    <w:p w:rsidR="000812DD" w:rsidRDefault="000812DD" w:rsidP="000812DD">
      <w:pPr>
        <w:jc w:val="both"/>
        <w:rPr>
          <w:rFonts w:asciiTheme="majorBidi" w:hAnsiTheme="majorBidi" w:cstheme="majorBidi"/>
          <w:b/>
          <w:bCs/>
        </w:rPr>
      </w:pPr>
    </w:p>
    <w:p w:rsidR="000812DD" w:rsidRPr="000812DD" w:rsidRDefault="000812DD" w:rsidP="000812DD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0812DD">
        <w:rPr>
          <w:rFonts w:asciiTheme="majorBidi" w:hAnsiTheme="majorBidi" w:cstheme="majorBidi"/>
          <w:b/>
          <w:bCs/>
          <w:u w:val="single"/>
        </w:rPr>
        <w:t>Technique</w:t>
      </w:r>
      <w:r w:rsidR="005D330D">
        <w:rPr>
          <w:rFonts w:asciiTheme="majorBidi" w:hAnsiTheme="majorBidi" w:cstheme="majorBidi"/>
          <w:b/>
          <w:bCs/>
          <w:u w:val="single"/>
        </w:rPr>
        <w:t xml:space="preserve"> d’ensemencement</w:t>
      </w:r>
    </w:p>
    <w:p w:rsidR="000812DD" w:rsidRPr="00031E2D" w:rsidRDefault="000812DD" w:rsidP="000812D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>Régénérer le milieu au bain-marie bouillant (20 min à ébullition).</w:t>
      </w:r>
    </w:p>
    <w:p w:rsidR="000812DD" w:rsidRPr="00031E2D" w:rsidRDefault="000812DD" w:rsidP="000812D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>Attendre le refroidissement</w:t>
      </w:r>
      <w:r w:rsidR="00031E2D"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 </w:t>
      </w:r>
      <w:r w:rsidR="00031E2D" w:rsidRPr="009A1A67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jusqu'à ce qu'il se durcisse (à mettre sous un robinet d'eau froide pour gagner du temps par exemple).</w:t>
      </w:r>
      <w:r w:rsidRPr="00031E2D">
        <w:rPr>
          <w:rFonts w:asciiTheme="majorBidi" w:hAnsiTheme="majorBidi" w:cstheme="majorBidi"/>
          <w:sz w:val="24"/>
          <w:szCs w:val="24"/>
        </w:rPr>
        <w:t>.</w:t>
      </w:r>
    </w:p>
    <w:p w:rsidR="00031E2D" w:rsidRPr="00031E2D" w:rsidRDefault="000812DD" w:rsidP="000812D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>Ensemencer</w:t>
      </w:r>
      <w:r w:rsidR="00031E2D" w:rsidRPr="00031E2D">
        <w:rPr>
          <w:rFonts w:asciiTheme="majorBidi" w:hAnsiTheme="majorBidi" w:cstheme="majorBidi"/>
          <w:sz w:val="24"/>
          <w:szCs w:val="24"/>
        </w:rPr>
        <w:t xml:space="preserve"> les 2 tubes ( 1et 2) </w:t>
      </w:r>
      <w:r w:rsidRPr="00031E2D">
        <w:rPr>
          <w:rFonts w:asciiTheme="majorBidi" w:hAnsiTheme="majorBidi" w:cstheme="majorBidi"/>
          <w:sz w:val="24"/>
          <w:szCs w:val="24"/>
        </w:rPr>
        <w:t xml:space="preserve"> par </w:t>
      </w:r>
      <w:r w:rsidRPr="00031E2D">
        <w:rPr>
          <w:rFonts w:asciiTheme="majorBidi" w:hAnsiTheme="majorBidi" w:cstheme="majorBidi"/>
          <w:b/>
          <w:bCs/>
          <w:sz w:val="24"/>
          <w:szCs w:val="24"/>
        </w:rPr>
        <w:t>piqûre centrale</w:t>
      </w:r>
      <w:r w:rsidRPr="00031E2D">
        <w:rPr>
          <w:rFonts w:asciiTheme="majorBidi" w:hAnsiTheme="majorBidi" w:cstheme="majorBidi"/>
          <w:sz w:val="24"/>
          <w:szCs w:val="24"/>
        </w:rPr>
        <w:t> à l'aide</w:t>
      </w:r>
      <w:r w:rsidR="00031E2D" w:rsidRPr="00031E2D">
        <w:rPr>
          <w:rFonts w:asciiTheme="majorBidi" w:hAnsiTheme="majorBidi" w:cstheme="majorBidi"/>
          <w:sz w:val="24"/>
          <w:szCs w:val="24"/>
        </w:rPr>
        <w:t xml:space="preserve"> d’une</w:t>
      </w:r>
      <w:r w:rsidRPr="00031E2D">
        <w:rPr>
          <w:rFonts w:asciiTheme="majorBidi" w:hAnsiTheme="majorBidi" w:cstheme="majorBidi"/>
          <w:sz w:val="24"/>
          <w:szCs w:val="24"/>
        </w:rPr>
        <w:t xml:space="preserve"> anse de platine chargé de bactérie à étudier.</w:t>
      </w:r>
      <w:r w:rsidR="00031E2D"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 </w:t>
      </w:r>
    </w:p>
    <w:p w:rsidR="000812DD" w:rsidRPr="00031E2D" w:rsidRDefault="00031E2D" w:rsidP="00031E2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A67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On ajoute de la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vaseline</w:t>
      </w:r>
      <w:r w:rsidRPr="009A1A67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 dans le tube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N°2</w:t>
      </w:r>
      <w:r w:rsidRPr="009A1A67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, sur une hauteur de 1 cm environ</w:t>
      </w:r>
    </w:p>
    <w:p w:rsidR="000812DD" w:rsidRPr="00031E2D" w:rsidRDefault="000812DD" w:rsidP="000812D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>Etuver à 37°C </w:t>
      </w:r>
      <w:r w:rsidRPr="00031E2D">
        <w:rPr>
          <w:rFonts w:asciiTheme="majorBidi" w:hAnsiTheme="majorBidi" w:cstheme="majorBidi"/>
          <w:b/>
          <w:bCs/>
          <w:sz w:val="24"/>
          <w:szCs w:val="24"/>
        </w:rPr>
        <w:t>en ne revissant pas à fond le bouchon</w:t>
      </w:r>
      <w:r w:rsidRPr="00031E2D">
        <w:rPr>
          <w:rFonts w:asciiTheme="majorBidi" w:hAnsiTheme="majorBidi" w:cstheme="majorBidi"/>
          <w:sz w:val="24"/>
          <w:szCs w:val="24"/>
        </w:rPr>
        <w:t>.</w:t>
      </w:r>
    </w:p>
    <w:p w:rsidR="00031E2D" w:rsidRDefault="000812DD" w:rsidP="00031E2D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 xml:space="preserve">Lire les résultats après </w:t>
      </w:r>
      <w:r w:rsidR="00031E2D" w:rsidRPr="00031E2D">
        <w:rPr>
          <w:rFonts w:asciiTheme="majorBidi" w:hAnsiTheme="majorBidi" w:cstheme="majorBidi"/>
          <w:sz w:val="24"/>
          <w:szCs w:val="24"/>
        </w:rPr>
        <w:t>24h.</w:t>
      </w:r>
    </w:p>
    <w:p w:rsidR="005D330D" w:rsidRPr="00031E2D" w:rsidRDefault="005D330D" w:rsidP="005D330D">
      <w:pPr>
        <w:pStyle w:val="Paragraphedeliste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31E2D" w:rsidRPr="00031E2D" w:rsidRDefault="00031E2D" w:rsidP="00031E2D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031E2D">
        <w:rPr>
          <w:rFonts w:asciiTheme="majorBidi" w:hAnsiTheme="majorBidi" w:cstheme="majorBidi"/>
          <w:b/>
          <w:bCs/>
          <w:sz w:val="24"/>
          <w:szCs w:val="24"/>
          <w:u w:val="single"/>
        </w:rPr>
        <w:t>Lecture et interprétation</w:t>
      </w:r>
    </w:p>
    <w:p w:rsidR="00031E2D" w:rsidRDefault="00031E2D" w:rsidP="005D330D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</w:pPr>
      <w:r w:rsidRPr="005D330D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> Haut du Tube 1 jaune</w:t>
      </w:r>
      <w:r w:rsidR="005D330D" w:rsidRPr="005D330D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 xml:space="preserve"> et le tube 2 vert</w:t>
      </w:r>
      <w:r w:rsidRPr="005D330D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 xml:space="preserve">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→ il y a eu un changement de couleur</w:t>
      </w:r>
      <w:r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 (en jaune) dû à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l'acidification dans le haut du tube </w:t>
      </w:r>
      <w:r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1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uniquement : les bactéries ont besoin d'oxygène pour dégrader le glucose. Les bactéries sont oxydatives.</w:t>
      </w:r>
    </w:p>
    <w:p w:rsidR="00031E2D" w:rsidRDefault="00031E2D" w:rsidP="005D330D">
      <w:pPr>
        <w:pStyle w:val="Paragraphedeliste"/>
        <w:shd w:val="clear" w:color="auto" w:fill="FFFFFF"/>
        <w:spacing w:before="100" w:beforeAutospacing="1" w:after="24"/>
        <w:ind w:left="360"/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</w:pPr>
    </w:p>
    <w:p w:rsidR="00031E2D" w:rsidRPr="00031E2D" w:rsidRDefault="00031E2D" w:rsidP="006D2758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24"/>
        <w:jc w:val="both"/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</w:pPr>
      <w:r w:rsidRPr="005D33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Tubes </w:t>
      </w:r>
      <w:r w:rsidR="005D330D" w:rsidRPr="005D33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</w:t>
      </w:r>
      <w:r w:rsidR="006D275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vert</w:t>
      </w:r>
      <w:r w:rsidRPr="005D330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et </w:t>
      </w:r>
      <w:r w:rsidR="006D2758" w:rsidRPr="005D330D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 xml:space="preserve">Tube </w:t>
      </w:r>
      <w:r w:rsidR="006D2758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>2</w:t>
      </w:r>
      <w:r w:rsidR="006D2758" w:rsidRPr="005D330D">
        <w:rPr>
          <w:rFonts w:asciiTheme="majorBidi" w:eastAsia="Times New Roman" w:hAnsiTheme="majorBidi" w:cstheme="majorBidi"/>
          <w:b/>
          <w:bCs/>
          <w:color w:val="202122"/>
          <w:sz w:val="24"/>
          <w:szCs w:val="24"/>
          <w:lang w:eastAsia="fr-FR"/>
        </w:rPr>
        <w:t xml:space="preserve"> jaune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→ il y a eu virage de l'indicateur coloré à cause de la production d'acide dans tout le tube : les bactéries ont utilisé le glucose en présence et en absence d'oxygène. Les bactéries sont donc </w:t>
      </w:r>
      <w:r w:rsidR="006D2758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 xml:space="preserve"> </w:t>
      </w:r>
      <w:r w:rsidRPr="00031E2D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fermentatives.</w:t>
      </w:r>
    </w:p>
    <w:p w:rsidR="000812DD" w:rsidRPr="00031E2D" w:rsidRDefault="000812DD" w:rsidP="005D330D">
      <w:pPr>
        <w:tabs>
          <w:tab w:val="left" w:pos="1084"/>
        </w:tabs>
        <w:jc w:val="both"/>
        <w:rPr>
          <w:rFonts w:asciiTheme="majorBidi" w:hAnsiTheme="majorBidi" w:cstheme="majorBidi"/>
          <w:sz w:val="24"/>
          <w:szCs w:val="24"/>
        </w:rPr>
      </w:pPr>
      <w:r w:rsidRPr="00031E2D">
        <w:rPr>
          <w:rFonts w:asciiTheme="majorBidi" w:hAnsiTheme="majorBidi" w:cstheme="majorBidi"/>
          <w:sz w:val="24"/>
          <w:szCs w:val="24"/>
        </w:rPr>
        <w:tab/>
      </w:r>
    </w:p>
    <w:p w:rsidR="00C47C22" w:rsidRPr="00C47C22" w:rsidRDefault="00C47C22" w:rsidP="00320085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C47C22" w:rsidRPr="00C47C22" w:rsidSect="008342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4D3" w:rsidRPr="001560EC" w:rsidRDefault="00D904D3" w:rsidP="00932AC2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1">
    <w:p w:rsidR="00D904D3" w:rsidRPr="001560EC" w:rsidRDefault="00D904D3" w:rsidP="00932AC2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06472"/>
      <w:docPartObj>
        <w:docPartGallery w:val="Page Numbers (Bottom of Page)"/>
        <w:docPartUnique/>
      </w:docPartObj>
    </w:sdtPr>
    <w:sdtContent>
      <w:p w:rsidR="00320085" w:rsidRDefault="00FC2298">
        <w:pPr>
          <w:pStyle w:val="Pieddepage"/>
          <w:jc w:val="center"/>
        </w:pPr>
        <w:fldSimple w:instr=" PAGE   \* MERGEFORMAT ">
          <w:r w:rsidR="006D2758">
            <w:rPr>
              <w:noProof/>
            </w:rPr>
            <w:t>2</w:t>
          </w:r>
        </w:fldSimple>
      </w:p>
    </w:sdtContent>
  </w:sdt>
  <w:p w:rsidR="00320085" w:rsidRDefault="003200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4D3" w:rsidRPr="001560EC" w:rsidRDefault="00D904D3" w:rsidP="00932AC2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1">
    <w:p w:rsidR="00D904D3" w:rsidRPr="001560EC" w:rsidRDefault="00D904D3" w:rsidP="00932AC2">
      <w:pPr>
        <w:spacing w:after="0" w:line="240" w:lineRule="auto"/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C2" w:rsidRDefault="00932AC2">
    <w:pPr>
      <w:pStyle w:val="En-tte"/>
    </w:pPr>
    <w:r>
      <w:t>TP N1 Biochimie microbienne                                                                                                                   Amari.S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18"/>
    <w:multiLevelType w:val="hybridMultilevel"/>
    <w:tmpl w:val="CCD0000C"/>
    <w:lvl w:ilvl="0" w:tplc="3F3C4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E0A60"/>
    <w:multiLevelType w:val="hybridMultilevel"/>
    <w:tmpl w:val="56D0B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B69E6"/>
    <w:multiLevelType w:val="hybridMultilevel"/>
    <w:tmpl w:val="EB34B3D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6BC4334"/>
    <w:multiLevelType w:val="hybridMultilevel"/>
    <w:tmpl w:val="29203E1A"/>
    <w:lvl w:ilvl="0" w:tplc="DD14E7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F48B4"/>
    <w:multiLevelType w:val="multilevel"/>
    <w:tmpl w:val="E64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24588"/>
    <w:multiLevelType w:val="hybridMultilevel"/>
    <w:tmpl w:val="DD50FB10"/>
    <w:lvl w:ilvl="0" w:tplc="DAA8D6D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B06A66"/>
    <w:multiLevelType w:val="hybridMultilevel"/>
    <w:tmpl w:val="4B88195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35B1351"/>
    <w:multiLevelType w:val="hybridMultilevel"/>
    <w:tmpl w:val="7186B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20E41"/>
    <w:multiLevelType w:val="hybridMultilevel"/>
    <w:tmpl w:val="A56EF6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54CFA"/>
    <w:multiLevelType w:val="hybridMultilevel"/>
    <w:tmpl w:val="97041A0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A05E8B"/>
    <w:multiLevelType w:val="multilevel"/>
    <w:tmpl w:val="8FC88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AC2"/>
    <w:rsid w:val="000234F7"/>
    <w:rsid w:val="00031E2D"/>
    <w:rsid w:val="000812DD"/>
    <w:rsid w:val="0008336E"/>
    <w:rsid w:val="00250DE0"/>
    <w:rsid w:val="00320085"/>
    <w:rsid w:val="004F4972"/>
    <w:rsid w:val="005D330D"/>
    <w:rsid w:val="006D2758"/>
    <w:rsid w:val="00834217"/>
    <w:rsid w:val="00885E85"/>
    <w:rsid w:val="00932AC2"/>
    <w:rsid w:val="009A1A67"/>
    <w:rsid w:val="00C43102"/>
    <w:rsid w:val="00C47C22"/>
    <w:rsid w:val="00D904D3"/>
    <w:rsid w:val="00FC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AC2"/>
  </w:style>
  <w:style w:type="paragraph" w:styleId="Pieddepage">
    <w:name w:val="footer"/>
    <w:basedOn w:val="Normal"/>
    <w:link w:val="PieddepageCar"/>
    <w:uiPriority w:val="99"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AC2"/>
  </w:style>
  <w:style w:type="paragraph" w:styleId="Paragraphedeliste">
    <w:name w:val="List Paragraph"/>
    <w:basedOn w:val="Normal"/>
    <w:uiPriority w:val="34"/>
    <w:qFormat/>
    <w:rsid w:val="004F49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4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2023-02-15T04:27:00Z</dcterms:created>
  <dcterms:modified xsi:type="dcterms:W3CDTF">2023-04-12T06:00:00Z</dcterms:modified>
</cp:coreProperties>
</file>