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b/>
          <w:bCs/>
          <w:iCs/>
        </w:rPr>
      </w:pPr>
      <w:r w:rsidRPr="00C9335D">
        <w:rPr>
          <w:rFonts w:asciiTheme="majorBidi" w:hAnsiTheme="majorBidi" w:cstheme="majorBidi"/>
          <w:b/>
          <w:bCs/>
          <w:iCs/>
        </w:rPr>
        <w:t>Semestre: 1</w:t>
      </w:r>
    </w:p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b/>
          <w:bCs/>
          <w:iCs/>
        </w:rPr>
      </w:pPr>
      <w:r w:rsidRPr="00C9335D">
        <w:rPr>
          <w:rFonts w:asciiTheme="majorBidi" w:hAnsiTheme="majorBidi" w:cstheme="majorBidi"/>
          <w:b/>
          <w:bCs/>
          <w:iCs/>
        </w:rPr>
        <w:t>Unité d’enseignement: UEM 1.1</w:t>
      </w:r>
    </w:p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b/>
          <w:bCs/>
          <w:iCs/>
        </w:rPr>
      </w:pPr>
      <w:r w:rsidRPr="00C9335D">
        <w:rPr>
          <w:rFonts w:asciiTheme="majorBidi" w:hAnsiTheme="majorBidi" w:cstheme="majorBidi"/>
          <w:b/>
          <w:bCs/>
          <w:iCs/>
        </w:rPr>
        <w:t>Matière 2: TP Chimie 1</w:t>
      </w:r>
    </w:p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b/>
          <w:bCs/>
          <w:iCs/>
        </w:rPr>
      </w:pPr>
      <w:r w:rsidRPr="00C9335D">
        <w:rPr>
          <w:rFonts w:asciiTheme="majorBidi" w:hAnsiTheme="majorBidi" w:cstheme="majorBidi"/>
          <w:b/>
          <w:bCs/>
          <w:iCs/>
        </w:rPr>
        <w:t>Crédits: 2</w:t>
      </w:r>
    </w:p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b/>
          <w:bCs/>
          <w:iCs/>
        </w:rPr>
      </w:pPr>
      <w:r w:rsidRPr="00C9335D">
        <w:rPr>
          <w:rFonts w:asciiTheme="majorBidi" w:hAnsiTheme="majorBidi" w:cstheme="majorBidi"/>
          <w:b/>
          <w:bCs/>
          <w:iCs/>
        </w:rPr>
        <w:t>Coefficient: 1</w:t>
      </w:r>
    </w:p>
    <w:p w:rsidR="00C9335D" w:rsidRPr="00C9335D" w:rsidRDefault="00C9335D" w:rsidP="00C9335D">
      <w:pPr>
        <w:tabs>
          <w:tab w:val="left" w:pos="938"/>
        </w:tabs>
        <w:spacing w:line="276" w:lineRule="auto"/>
        <w:jc w:val="both"/>
        <w:rPr>
          <w:rFonts w:asciiTheme="majorBidi" w:hAnsiTheme="majorBidi" w:cstheme="majorBidi"/>
          <w:b/>
        </w:rPr>
      </w:pPr>
      <w:r w:rsidRPr="00C9335D">
        <w:rPr>
          <w:rFonts w:asciiTheme="majorBidi" w:hAnsiTheme="majorBidi" w:cstheme="majorBidi"/>
          <w:b/>
        </w:rPr>
        <w:tab/>
      </w:r>
    </w:p>
    <w:p w:rsidR="00C9335D" w:rsidRPr="00C9335D" w:rsidRDefault="001D12CB" w:rsidP="001D12CB">
      <w:pPr>
        <w:spacing w:line="360" w:lineRule="auto"/>
        <w:jc w:val="both"/>
        <w:rPr>
          <w:rFonts w:asciiTheme="majorBidi" w:eastAsia="Times New Roman" w:hAnsiTheme="majorBidi" w:cstheme="majorBidi"/>
          <w:u w:val="thick" w:color="F79646" w:themeColor="accent6"/>
        </w:rPr>
      </w:pPr>
      <w:r>
        <w:rPr>
          <w:rFonts w:asciiTheme="majorBidi" w:eastAsia="Times New Roman" w:hAnsiTheme="majorBidi" w:cstheme="majorBidi"/>
          <w:b/>
          <w:u w:val="thick" w:color="F79646" w:themeColor="accent6"/>
        </w:rPr>
        <w:t>Objectifs:</w:t>
      </w:r>
    </w:p>
    <w:p w:rsidR="00C9335D" w:rsidRPr="00C9335D" w:rsidRDefault="00C9335D" w:rsidP="0029527D">
      <w:pPr>
        <w:spacing w:line="36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ab/>
      </w:r>
      <w:r w:rsidRPr="00C9335D">
        <w:rPr>
          <w:rFonts w:asciiTheme="majorBidi" w:eastAsia="Times New Roman" w:hAnsiTheme="majorBidi" w:cstheme="majorBidi"/>
        </w:rPr>
        <w:t>Consolider les connaissances théoriques apportées au cours de structure de la matière par un certain nombre de manipulations pratiques.</w:t>
      </w:r>
    </w:p>
    <w:p w:rsidR="00C9335D" w:rsidRPr="00C9335D" w:rsidRDefault="00C9335D" w:rsidP="00C9335D">
      <w:pPr>
        <w:jc w:val="both"/>
        <w:rPr>
          <w:rFonts w:asciiTheme="majorBidi" w:eastAsia="Times New Roman" w:hAnsiTheme="majorBidi" w:cstheme="majorBidi"/>
        </w:rPr>
      </w:pPr>
    </w:p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b/>
          <w:u w:val="thick" w:color="F79646" w:themeColor="accent6"/>
        </w:rPr>
      </w:pPr>
      <w:r w:rsidRPr="00C9335D">
        <w:rPr>
          <w:rFonts w:asciiTheme="majorBidi" w:hAnsiTheme="majorBidi" w:cstheme="majorBidi"/>
          <w:b/>
          <w:u w:val="thick" w:color="F79646" w:themeColor="accent6"/>
        </w:rPr>
        <w:t>Contenu de la matière:</w:t>
      </w:r>
    </w:p>
    <w:p w:rsidR="00C9335D" w:rsidRPr="00C9335D" w:rsidRDefault="00C9335D" w:rsidP="00C9335D">
      <w:pPr>
        <w:jc w:val="both"/>
        <w:rPr>
          <w:rFonts w:asciiTheme="majorBidi" w:hAnsiTheme="majorBidi" w:cstheme="majorBidi"/>
          <w:b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C9335D">
        <w:rPr>
          <w:rFonts w:asciiTheme="majorBidi" w:eastAsiaTheme="minorHAnsi" w:hAnsiTheme="majorBidi" w:cstheme="majorBidi"/>
          <w:bCs/>
          <w:lang w:eastAsia="en-US"/>
        </w:rPr>
        <w:t xml:space="preserve">1. </w:t>
      </w:r>
      <w:r w:rsidRPr="00C9335D">
        <w:rPr>
          <w:rFonts w:asciiTheme="majorBidi" w:eastAsiaTheme="minorHAnsi" w:hAnsiTheme="majorBidi" w:cstheme="majorBidi"/>
          <w:lang w:eastAsia="en-US"/>
        </w:rPr>
        <w:t xml:space="preserve">La sécurité au laboratoire                                                                               </w:t>
      </w: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C9335D">
        <w:rPr>
          <w:rFonts w:asciiTheme="majorBidi" w:eastAsiaTheme="minorHAnsi" w:hAnsiTheme="majorBidi" w:cstheme="majorBidi"/>
          <w:bCs/>
          <w:lang w:eastAsia="en-US"/>
        </w:rPr>
        <w:t xml:space="preserve">2. </w:t>
      </w:r>
      <w:r w:rsidRPr="00C9335D">
        <w:rPr>
          <w:rFonts w:asciiTheme="majorBidi" w:eastAsiaTheme="minorHAnsi" w:hAnsiTheme="majorBidi" w:cstheme="majorBidi"/>
          <w:lang w:eastAsia="en-US"/>
        </w:rPr>
        <w:t>Préparation des solutions</w:t>
      </w: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C9335D">
        <w:rPr>
          <w:rFonts w:asciiTheme="majorBidi" w:eastAsiaTheme="minorHAnsi" w:hAnsiTheme="majorBidi" w:cstheme="majorBidi"/>
          <w:lang w:eastAsia="en-US"/>
        </w:rPr>
        <w:t>3. Notions sur les calculs d’incertitude appliqués à la chimie.</w:t>
      </w: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C9335D">
        <w:rPr>
          <w:rFonts w:asciiTheme="majorBidi" w:eastAsiaTheme="minorHAnsi" w:hAnsiTheme="majorBidi" w:cstheme="majorBidi"/>
          <w:lang w:eastAsia="en-US"/>
        </w:rPr>
        <w:t xml:space="preserve">4. Dosage acido-basique par colorimétrie  et </w:t>
      </w:r>
      <w:proofErr w:type="spellStart"/>
      <w:r w:rsidRPr="00C9335D">
        <w:rPr>
          <w:rFonts w:asciiTheme="majorBidi" w:eastAsiaTheme="minorHAnsi" w:hAnsiTheme="majorBidi" w:cstheme="majorBidi"/>
          <w:lang w:eastAsia="en-US"/>
        </w:rPr>
        <w:t>pH-mètrie</w:t>
      </w:r>
      <w:proofErr w:type="spellEnd"/>
      <w:r w:rsidRPr="00C9335D">
        <w:rPr>
          <w:rFonts w:asciiTheme="majorBidi" w:eastAsiaTheme="minorHAnsi" w:hAnsiTheme="majorBidi" w:cstheme="majorBidi"/>
          <w:lang w:eastAsia="en-US"/>
        </w:rPr>
        <w:t>.</w:t>
      </w: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C9335D">
        <w:rPr>
          <w:rFonts w:asciiTheme="majorBidi" w:eastAsiaTheme="minorHAnsi" w:hAnsiTheme="majorBidi" w:cstheme="majorBidi"/>
          <w:lang w:eastAsia="en-US"/>
        </w:rPr>
        <w:t xml:space="preserve">5. Dosage acido-basique par conductimètre. </w:t>
      </w: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bCs/>
          <w:lang w:eastAsia="en-US"/>
        </w:rPr>
      </w:pPr>
      <w:r w:rsidRPr="00C9335D">
        <w:rPr>
          <w:rFonts w:asciiTheme="majorBidi" w:eastAsiaTheme="minorHAnsi" w:hAnsiTheme="majorBidi" w:cstheme="majorBidi"/>
          <w:bCs/>
          <w:lang w:eastAsia="en-US"/>
        </w:rPr>
        <w:t>5. Dosage d’oxydoréduction</w:t>
      </w: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="TimesNewRoman" w:hAnsiTheme="majorBidi" w:cstheme="majorBidi"/>
          <w:lang w:eastAsia="en-US"/>
        </w:rPr>
      </w:pPr>
      <w:r w:rsidRPr="00C9335D">
        <w:rPr>
          <w:rFonts w:asciiTheme="majorBidi" w:eastAsia="TimesNewRoman" w:hAnsiTheme="majorBidi" w:cstheme="majorBidi"/>
          <w:lang w:eastAsia="en-US"/>
        </w:rPr>
        <w:t>6. Détermination de la dureté de l’eau</w:t>
      </w: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="TimesNewRoman" w:hAnsiTheme="majorBidi" w:cstheme="majorBidi"/>
          <w:lang w:eastAsia="en-US"/>
        </w:rPr>
      </w:pPr>
    </w:p>
    <w:p w:rsidR="00C9335D" w:rsidRPr="00C9335D" w:rsidRDefault="00C9335D" w:rsidP="00C9335D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C9335D">
        <w:rPr>
          <w:rFonts w:asciiTheme="majorBidi" w:eastAsia="TimesNewRoman" w:hAnsiTheme="majorBidi" w:cstheme="majorBidi"/>
          <w:lang w:eastAsia="en-US"/>
        </w:rPr>
        <w:t xml:space="preserve">7. Dosage des ions dans l’eau : dosage des ions chlorure par la méthode de </w:t>
      </w:r>
      <w:proofErr w:type="spellStart"/>
      <w:r w:rsidRPr="00C9335D">
        <w:rPr>
          <w:rFonts w:asciiTheme="majorBidi" w:eastAsia="TimesNewRoman" w:hAnsiTheme="majorBidi" w:cstheme="majorBidi"/>
          <w:lang w:eastAsia="en-US"/>
        </w:rPr>
        <w:t>Mohr</w:t>
      </w:r>
      <w:proofErr w:type="spellEnd"/>
      <w:r w:rsidRPr="00C9335D">
        <w:rPr>
          <w:rFonts w:asciiTheme="majorBidi" w:eastAsia="TimesNewRoman" w:hAnsiTheme="majorBidi" w:cstheme="majorBidi"/>
          <w:lang w:eastAsia="en-US"/>
        </w:rPr>
        <w:t xml:space="preserve">. </w:t>
      </w:r>
    </w:p>
    <w:p w:rsidR="00C9335D" w:rsidRPr="00C9335D" w:rsidRDefault="00C9335D" w:rsidP="00C9335D">
      <w:pPr>
        <w:jc w:val="both"/>
        <w:rPr>
          <w:rFonts w:asciiTheme="majorBidi" w:hAnsiTheme="majorBidi" w:cstheme="majorBidi"/>
          <w:color w:val="FF0000"/>
          <w:spacing w:val="3"/>
        </w:rPr>
      </w:pPr>
    </w:p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C9335D">
        <w:rPr>
          <w:rFonts w:asciiTheme="majorBidi" w:hAnsiTheme="majorBidi" w:cstheme="majorBidi"/>
          <w:b/>
          <w:u w:val="thick" w:color="F79646" w:themeColor="accent6"/>
        </w:rPr>
        <w:t>Mode d’évaluation:</w:t>
      </w:r>
    </w:p>
    <w:p w:rsidR="00C9335D" w:rsidRPr="00C9335D" w:rsidRDefault="00C9335D" w:rsidP="00C9335D">
      <w:pPr>
        <w:spacing w:line="276" w:lineRule="auto"/>
        <w:jc w:val="both"/>
        <w:rPr>
          <w:rFonts w:asciiTheme="majorBidi" w:hAnsiTheme="majorBidi" w:cstheme="majorBidi"/>
          <w:rtl/>
        </w:rPr>
      </w:pPr>
      <w:r w:rsidRPr="00C9335D">
        <w:rPr>
          <w:rFonts w:asciiTheme="majorBidi" w:hAnsiTheme="majorBidi" w:cstheme="majorBidi"/>
        </w:rPr>
        <w:t xml:space="preserve">Contrôle continu: 12 points </w:t>
      </w:r>
    </w:p>
    <w:p w:rsidR="00C9335D" w:rsidRPr="00C9335D" w:rsidRDefault="00C9335D" w:rsidP="0029527D">
      <w:pPr>
        <w:spacing w:line="276" w:lineRule="auto"/>
        <w:jc w:val="both"/>
        <w:rPr>
          <w:rFonts w:asciiTheme="majorBidi" w:hAnsiTheme="majorBidi" w:cstheme="majorBidi"/>
        </w:rPr>
      </w:pPr>
      <w:r w:rsidRPr="00C9335D">
        <w:rPr>
          <w:rFonts w:asciiTheme="majorBidi" w:hAnsiTheme="majorBidi" w:cstheme="majorBidi"/>
        </w:rPr>
        <w:t>Exam</w:t>
      </w:r>
      <w:r w:rsidR="0029527D">
        <w:rPr>
          <w:rFonts w:asciiTheme="majorBidi" w:hAnsiTheme="majorBidi" w:cstheme="majorBidi"/>
        </w:rPr>
        <w:t>en</w:t>
      </w:r>
      <w:r w:rsidRPr="00C9335D">
        <w:rPr>
          <w:rFonts w:asciiTheme="majorBidi" w:hAnsiTheme="majorBidi" w:cstheme="majorBidi"/>
        </w:rPr>
        <w:t xml:space="preserve"> : 8 points</w:t>
      </w:r>
    </w:p>
    <w:p w:rsidR="007B36C9" w:rsidRPr="00C9335D" w:rsidRDefault="007B36C9">
      <w:pPr>
        <w:rPr>
          <w:rFonts w:asciiTheme="majorBidi" w:hAnsiTheme="majorBidi" w:cstheme="majorBidi"/>
        </w:rPr>
      </w:pPr>
    </w:p>
    <w:sectPr w:rsidR="007B36C9" w:rsidRPr="00C9335D" w:rsidSect="007B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9335D"/>
    <w:rsid w:val="001D12CB"/>
    <w:rsid w:val="0029527D"/>
    <w:rsid w:val="007B36C9"/>
    <w:rsid w:val="00C9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2023-02-15T09:02:00Z</dcterms:created>
  <dcterms:modified xsi:type="dcterms:W3CDTF">2023-02-15T09:09:00Z</dcterms:modified>
</cp:coreProperties>
</file>