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0C" w:rsidRDefault="008A7CDC" w:rsidP="008D24A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إعداد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8A7C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مخطط التمويل</w:t>
      </w:r>
    </w:p>
    <w:p w:rsidR="008A7CDC" w:rsidRDefault="008D24AD" w:rsidP="008D24A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1- </w:t>
      </w:r>
      <w:r w:rsidR="008A7C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مفهوم مخطط التمويل:</w:t>
      </w:r>
      <w:r w:rsidR="008A7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هو انعكاس للسياسة المالية والإستراتيجية العامة للمؤسسة، إذ يجسد القرارات المالية المستقبلية ومختلف النتائج المترتب عنها، ويتضمن المصادر التمويلية وأوجه استخدامها خلال فترة زمنية متوسطة وطويلة </w:t>
      </w:r>
      <w:proofErr w:type="spellStart"/>
      <w:r w:rsidR="008A7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الاجل</w:t>
      </w:r>
      <w:proofErr w:type="spellEnd"/>
      <w:r w:rsidR="008A7C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8A7CDC" w:rsidRDefault="008A7CDC" w:rsidP="008D24A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A7C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تعريف مخطط التمويل: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 عبارة عن جدول مالي تقديري متعدد السنوات، يعد لتجسيد السياسة التمويلية خلال فترة مستقبلية تمتد من 3 سنوات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5 سنوات، ويتضمن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مايلي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8A7CDC" w:rsidRDefault="008A7CDC" w:rsidP="008D24A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الموارد الدائمة التي سخرتها المؤسسة لتمويل أنشطتها سنويا خلال فترة زمنية محددة،</w:t>
      </w:r>
    </w:p>
    <w:p w:rsidR="008A7CDC" w:rsidRDefault="008A7CDC" w:rsidP="008D24AD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الاستخدامات الدائمة التي يتوجب على المؤسسة تغطيتها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سنويا</w:t>
      </w:r>
      <w:proofErr w:type="gramEnd"/>
      <w:r w:rsidR="004A62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خلال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D24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نفس الفترة.</w:t>
      </w:r>
    </w:p>
    <w:p w:rsidR="00140F33" w:rsidRDefault="008D24AD" w:rsidP="0070274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857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2- نموذج تمثيلي لمخطط التمويل: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الحقيقة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لايوجد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نموذج ثابت لمخطط التمويل، ويتوقف ذلك على طبيعة النظام المالي الذي تخضع له المؤسسة، إلا أن هناك العديد من النماذج النظرية المبسطة، تقدم منها النموذج المبين في الجدول التالي:</w:t>
      </w:r>
    </w:p>
    <w:p w:rsidR="0089703A" w:rsidRPr="0089703A" w:rsidRDefault="0089703A" w:rsidP="0089703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جدول رقم (1): </w:t>
      </w:r>
      <w:proofErr w:type="gramStart"/>
      <w:r w:rsidRPr="008970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مخطط</w:t>
      </w:r>
      <w:proofErr w:type="gramEnd"/>
      <w:r w:rsidRPr="008970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التمويل</w:t>
      </w:r>
    </w:p>
    <w:tbl>
      <w:tblPr>
        <w:tblStyle w:val="Grilledutableau"/>
        <w:bidiVisual/>
        <w:tblW w:w="0" w:type="auto"/>
        <w:tblLook w:val="04A0"/>
      </w:tblPr>
      <w:tblGrid>
        <w:gridCol w:w="4019"/>
        <w:gridCol w:w="851"/>
        <w:gridCol w:w="992"/>
        <w:gridCol w:w="851"/>
        <w:gridCol w:w="850"/>
        <w:gridCol w:w="883"/>
      </w:tblGrid>
      <w:tr w:rsidR="0089703A" w:rsidTr="0089703A">
        <w:tc>
          <w:tcPr>
            <w:tcW w:w="4019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السنوات</w:t>
            </w:r>
            <w:proofErr w:type="gramEnd"/>
          </w:p>
        </w:tc>
        <w:tc>
          <w:tcPr>
            <w:tcW w:w="851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992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51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850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883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</w:t>
            </w:r>
          </w:p>
        </w:tc>
      </w:tr>
      <w:tr w:rsidR="0089703A" w:rsidTr="0089703A">
        <w:tc>
          <w:tcPr>
            <w:tcW w:w="4019" w:type="dxa"/>
          </w:tcPr>
          <w:p w:rsidR="0089703A" w:rsidRPr="00140F33" w:rsidRDefault="0089703A" w:rsidP="0089703A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40F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الاستخدامات</w:t>
            </w:r>
            <w:proofErr w:type="gramEnd"/>
            <w:r w:rsidRPr="00140F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89703A" w:rsidRPr="0089703A" w:rsidRDefault="0089703A" w:rsidP="0089703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89703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حيازة الاستثمارات المادية </w:t>
            </w:r>
            <w:proofErr w:type="gramStart"/>
            <w:r w:rsidRPr="0089703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والمعنوية</w:t>
            </w:r>
            <w:proofErr w:type="gramEnd"/>
            <w:r w:rsidRPr="0089703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والمالية.</w:t>
            </w:r>
          </w:p>
          <w:p w:rsidR="0089703A" w:rsidRDefault="0089703A" w:rsidP="0089703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89703A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الارتفاع في الاحتياجات في رأس المال العامل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</w:t>
            </w:r>
          </w:p>
          <w:p w:rsidR="0089703A" w:rsidRDefault="0089703A" w:rsidP="0089703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المصاريف التي ستوزع على عدة سنوات.</w:t>
            </w:r>
          </w:p>
          <w:p w:rsidR="0089703A" w:rsidRDefault="00140F33" w:rsidP="0089703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تسديد</w:t>
            </w:r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الديون المالية.</w:t>
            </w:r>
          </w:p>
          <w:p w:rsidR="0089703A" w:rsidRDefault="00140F33" w:rsidP="00140F3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الارباح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التي ستوزع.</w:t>
            </w:r>
          </w:p>
        </w:tc>
        <w:tc>
          <w:tcPr>
            <w:tcW w:w="851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83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89703A" w:rsidTr="0089703A">
        <w:tc>
          <w:tcPr>
            <w:tcW w:w="4019" w:type="dxa"/>
          </w:tcPr>
          <w:p w:rsidR="0089703A" w:rsidRPr="00140F33" w:rsidRDefault="00140F33" w:rsidP="0089703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40F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مجموع</w:t>
            </w:r>
            <w:proofErr w:type="gramEnd"/>
            <w:r w:rsidRPr="00140F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الاستخدامات</w:t>
            </w:r>
          </w:p>
        </w:tc>
        <w:tc>
          <w:tcPr>
            <w:tcW w:w="851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83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89703A" w:rsidTr="0089703A">
        <w:tc>
          <w:tcPr>
            <w:tcW w:w="4019" w:type="dxa"/>
          </w:tcPr>
          <w:p w:rsidR="0089703A" w:rsidRPr="00140F33" w:rsidRDefault="00140F33" w:rsidP="00140F3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40F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الموارد</w:t>
            </w:r>
            <w:proofErr w:type="gramEnd"/>
            <w:r w:rsidRPr="00140F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140F33" w:rsidRDefault="00140F33" w:rsidP="00140F3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القدرة على التمويل الذاتي.</w:t>
            </w:r>
          </w:p>
          <w:p w:rsidR="00140F33" w:rsidRDefault="00140F33" w:rsidP="00140F3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التنازل أو الانخفاض في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الاصول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الثابتة.</w:t>
            </w:r>
          </w:p>
          <w:p w:rsidR="00140F33" w:rsidRDefault="00140F33" w:rsidP="00140F3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الارتفاع في رأس المال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والاعانات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.</w:t>
            </w:r>
          </w:p>
          <w:p w:rsidR="00140F33" w:rsidRPr="00140F33" w:rsidRDefault="00140F33" w:rsidP="00140F3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الديون المالية الجديدة.</w:t>
            </w:r>
          </w:p>
        </w:tc>
        <w:tc>
          <w:tcPr>
            <w:tcW w:w="851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83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89703A" w:rsidTr="0089703A">
        <w:tc>
          <w:tcPr>
            <w:tcW w:w="4019" w:type="dxa"/>
          </w:tcPr>
          <w:p w:rsidR="0089703A" w:rsidRPr="00140F33" w:rsidRDefault="00140F33" w:rsidP="0089703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40F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مجموع</w:t>
            </w:r>
            <w:proofErr w:type="gramEnd"/>
            <w:r w:rsidRPr="00140F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الموارد</w:t>
            </w:r>
          </w:p>
        </w:tc>
        <w:tc>
          <w:tcPr>
            <w:tcW w:w="851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83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89703A" w:rsidTr="0089703A">
        <w:tc>
          <w:tcPr>
            <w:tcW w:w="4019" w:type="dxa"/>
          </w:tcPr>
          <w:p w:rsidR="0089703A" w:rsidRPr="00140F33" w:rsidRDefault="00140F33" w:rsidP="0089703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40F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الانحراف</w:t>
            </w:r>
            <w:proofErr w:type="gramEnd"/>
            <w:r w:rsidRPr="00140F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السنوي</w:t>
            </w:r>
          </w:p>
          <w:p w:rsidR="00140F33" w:rsidRPr="00140F33" w:rsidRDefault="00140F33" w:rsidP="00140F3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140F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الخزينة </w:t>
            </w:r>
            <w:proofErr w:type="spellStart"/>
            <w:r w:rsidRPr="00140F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الاولية</w:t>
            </w:r>
            <w:proofErr w:type="spellEnd"/>
          </w:p>
          <w:p w:rsidR="00140F33" w:rsidRPr="00140F33" w:rsidRDefault="00140F33" w:rsidP="00140F33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proofErr w:type="gramStart"/>
            <w:r w:rsidRPr="00140F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الخزينة</w:t>
            </w:r>
            <w:proofErr w:type="gramEnd"/>
            <w:r w:rsidRPr="00140F3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النهائية</w:t>
            </w:r>
          </w:p>
        </w:tc>
        <w:tc>
          <w:tcPr>
            <w:tcW w:w="851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83" w:type="dxa"/>
          </w:tcPr>
          <w:p w:rsidR="0089703A" w:rsidRDefault="0089703A" w:rsidP="0089703A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89703A" w:rsidRDefault="00AB3669" w:rsidP="00B2767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    إضافة إلى العناصر التي تظهر في الجدول أعلاه، يتضمن مخطط التمويل كافة التدفقات المالية التي تؤثر على الخزينة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الاجمالية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حيث يبدأ الجدول بخزينة إجمالية أولية ثم تضاف إليها الاستخدامات والموارد السنوية لتتحدد بعدها الخزينة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الاجمالية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النهائية وذلك وفق للمعادلة التالية:</w:t>
      </w:r>
    </w:p>
    <w:p w:rsidR="0089703A" w:rsidRDefault="00620CE7" w:rsidP="0089703A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oundrect id="_x0000_s1026" style="position:absolute;left:0;text-align:left;margin-left:66.8pt;margin-top:18.5pt;width:431.35pt;height:40pt;z-index:251658240" arcsize="10923f">
            <v:textbox>
              <w:txbxContent>
                <w:p w:rsidR="00B27670" w:rsidRDefault="00B27670" w:rsidP="0070274C">
                  <w:pPr>
                    <w:bidi/>
                    <w:jc w:val="both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الخزينة في نهاية الدورة = الخزينة في بداية الدورة + انحراف الدورة ( الموارد </w:t>
                  </w:r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–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الاستخدامات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)</w:t>
                  </w:r>
                </w:p>
                <w:p w:rsidR="00B27670" w:rsidRPr="00B27670" w:rsidRDefault="00B27670" w:rsidP="0070274C">
                  <w:pPr>
                    <w:bidi/>
                    <w:jc w:val="both"/>
                    <w:rPr>
                      <w:rFonts w:ascii="Simplified Arabic" w:hAnsi="Simplified Arabic" w:cs="Simplified Arabic"/>
                      <w:lang w:bidi="ar-DZ"/>
                    </w:rPr>
                  </w:pPr>
                </w:p>
                <w:p w:rsidR="006B62AC" w:rsidRPr="00B27670" w:rsidRDefault="006B62AC" w:rsidP="0070274C">
                  <w:pPr>
                    <w:bidi/>
                    <w:jc w:val="both"/>
                    <w:rPr>
                      <w:rFonts w:ascii="Simplified Arabic" w:hAnsi="Simplified Arabic" w:cs="Simplified Arabic"/>
                      <w:lang w:bidi="ar-DZ"/>
                    </w:rPr>
                  </w:pPr>
                </w:p>
              </w:txbxContent>
            </v:textbox>
          </v:roundrect>
        </w:pict>
      </w:r>
    </w:p>
    <w:p w:rsidR="0089703A" w:rsidRDefault="0089703A" w:rsidP="0089703A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0274C" w:rsidRDefault="0070274C" w:rsidP="0070274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إعداد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مخطط التمويل واستخداماته:</w:t>
      </w:r>
    </w:p>
    <w:p w:rsidR="0070274C" w:rsidRDefault="0070274C" w:rsidP="0070274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027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7027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مبدأ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إعداد مخطط التمويل: يتطلب إعداده على الأقل مرحلتين:</w:t>
      </w:r>
    </w:p>
    <w:p w:rsidR="0070274C" w:rsidRDefault="0070274C" w:rsidP="007F4AE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إعداد مخطط أولي لا يتضمن مصادر التمويل الخارجية،  حيث يسمح الانحراف السنوي من تقدير الاحتياجات</w:t>
      </w:r>
      <w:r w:rsidRPr="007027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C6D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التمويلية القادمة من المصادر الخارجية.</w:t>
      </w:r>
    </w:p>
    <w:p w:rsidR="00FC6DA4" w:rsidRDefault="00FC6DA4" w:rsidP="00FC6DA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إعداد مخطط نهائي يتضمن كافة المصادر بما فيها الخارجية.</w:t>
      </w:r>
    </w:p>
    <w:p w:rsidR="00FC6DA4" w:rsidRDefault="00C666F6" w:rsidP="00FC6DA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تمر عملية البناء عبر مراحل متتالية نوضحها من خلال الشكل التالي:</w:t>
      </w:r>
    </w:p>
    <w:p w:rsidR="00A3456F" w:rsidRDefault="00A3456F" w:rsidP="00A3456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C6DA4" w:rsidRPr="0070274C" w:rsidRDefault="00FC6DA4" w:rsidP="00FC6DA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9703A" w:rsidRDefault="0089703A" w:rsidP="0089703A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9703A" w:rsidRDefault="0089703A" w:rsidP="0089703A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9703A" w:rsidRDefault="0089703A" w:rsidP="0089703A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9703A" w:rsidRDefault="0089703A" w:rsidP="0089703A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9703A" w:rsidRDefault="0089703A" w:rsidP="0089703A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3456F" w:rsidRDefault="00A3456F" w:rsidP="00A3456F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3456F" w:rsidRDefault="00A3456F" w:rsidP="00A3456F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3456F" w:rsidRPr="00BE5C9B" w:rsidRDefault="00A3456F" w:rsidP="00A3456F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3456F" w:rsidRDefault="00620CE7" w:rsidP="00A3456F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lastRenderedPageBreak/>
        <w:pict>
          <v:group id="_x0000_s1057" style="position:absolute;left:0;text-align:left;margin-left:1.95pt;margin-top:1.15pt;width:509.45pt;height:546.55pt;z-index:251684864" coordorigin="890,1016" coordsize="10189,10931">
            <v:roundrect id="_x0000_s1027" style="position:absolute;left:4209;top:1016;width:3983;height:1014" arcsize="10923f">
              <v:textbox style="mso-next-textbox:#_x0000_s1027">
                <w:txbxContent>
                  <w:p w:rsidR="00BE5C9B" w:rsidRPr="00BE5C9B" w:rsidRDefault="00587B5A" w:rsidP="00BE5C9B">
                    <w:pPr>
                      <w:bidi/>
                      <w:spacing w:line="240" w:lineRule="auto"/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r w:rsidRPr="00BE5C9B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 xml:space="preserve">مخطط </w:t>
                    </w:r>
                    <w:proofErr w:type="spellStart"/>
                    <w:r w:rsidRPr="00BE5C9B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الانتاج</w:t>
                    </w:r>
                    <w:proofErr w:type="spellEnd"/>
                    <w:r w:rsidR="00BE5C9B" w:rsidRPr="00BE5C9B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 xml:space="preserve">، </w:t>
                    </w:r>
                    <w:r w:rsidRPr="00BE5C9B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مخطط الموارد البشرية</w:t>
                    </w:r>
                    <w:r w:rsidR="00BE5C9B" w:rsidRPr="00BE5C9B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، مخطط التسويق</w:t>
                    </w:r>
                  </w:p>
                </w:txbxContent>
              </v:textbox>
            </v:roundrect>
            <v:roundrect id="_x0000_s1028" style="position:absolute;left:7231;top:3145;width:2898;height:853" arcsize="10923f">
              <v:textbox style="mso-next-textbox:#_x0000_s1028">
                <w:txbxContent>
                  <w:p w:rsidR="00BE5C9B" w:rsidRPr="00BE5C9B" w:rsidRDefault="00BE5C9B" w:rsidP="00BE5C9B">
                    <w:pPr>
                      <w:bidi/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proofErr w:type="gramStart"/>
                    <w:r w:rsidRPr="00BE5C9B">
                      <w:rPr>
                        <w:rFonts w:ascii="Simplified Arabic" w:hAnsi="Simplified Arabic" w:cs="Simplified Arabic"/>
                        <w:b/>
                        <w:bCs/>
                        <w:rtl/>
                        <w:lang w:bidi="ar-DZ"/>
                      </w:rPr>
                      <w:t>تقدير</w:t>
                    </w:r>
                    <w:proofErr w:type="gramEnd"/>
                    <w:r w:rsidRPr="00BE5C9B">
                      <w:rPr>
                        <w:rFonts w:ascii="Simplified Arabic" w:hAnsi="Simplified Arabic" w:cs="Simplified Arabic"/>
                        <w:b/>
                        <w:bCs/>
                        <w:rtl/>
                        <w:lang w:bidi="ar-DZ"/>
                      </w:rPr>
                      <w:t xml:space="preserve"> احتياجات التمويل</w:t>
                    </w:r>
                  </w:p>
                </w:txbxContent>
              </v:textbox>
            </v:roundrect>
            <v:roundrect id="_x0000_s1029" style="position:absolute;left:2067;top:2965;width:2898;height:853" arcsize="10923f">
              <v:textbox style="mso-next-textbox:#_x0000_s1029">
                <w:txbxContent>
                  <w:p w:rsidR="00BE5C9B" w:rsidRPr="00BE5C9B" w:rsidRDefault="00BE5C9B" w:rsidP="00BE5C9B">
                    <w:pPr>
                      <w:bidi/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proofErr w:type="gramStart"/>
                    <w:r w:rsidRPr="00BE5C9B">
                      <w:rPr>
                        <w:rFonts w:ascii="Simplified Arabic" w:hAnsi="Simplified Arabic" w:cs="Simplified Arabic"/>
                        <w:b/>
                        <w:bCs/>
                        <w:rtl/>
                        <w:lang w:bidi="ar-DZ"/>
                      </w:rPr>
                      <w:t>تقدير</w:t>
                    </w:r>
                    <w:proofErr w:type="gramEnd"/>
                    <w:r w:rsidRPr="00BE5C9B">
                      <w:rPr>
                        <w:rFonts w:ascii="Simplified Arabic" w:hAnsi="Simplified Arabic" w:cs="Simplified Arabic"/>
                        <w:b/>
                        <w:bCs/>
                        <w:rtl/>
                        <w:lang w:bidi="ar-DZ"/>
                      </w:rPr>
                      <w:t xml:space="preserve"> موارد التمويل الذاتي</w:t>
                    </w:r>
                  </w:p>
                </w:txbxContent>
              </v:textbox>
            </v:roundrect>
            <v:roundrect id="_x0000_s1030" style="position:absolute;left:7231;top:6368;width:2898;height:853" arcsize="10923f">
              <v:textbox style="mso-next-textbox:#_x0000_s1030">
                <w:txbxContent>
                  <w:p w:rsidR="00BE5C9B" w:rsidRPr="00BE5C9B" w:rsidRDefault="00BE5C9B" w:rsidP="00BE5C9B">
                    <w:pPr>
                      <w:bidi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r w:rsidRPr="00BE5C9B">
                      <w:rPr>
                        <w:rFonts w:ascii="Simplified Arabic" w:hAnsi="Simplified Arabic" w:cs="Simplified Arabic"/>
                        <w:b/>
                        <w:bCs/>
                        <w:rtl/>
                        <w:lang w:bidi="ar-DZ"/>
                      </w:rPr>
                      <w:t xml:space="preserve">تقدير الفائض أو </w:t>
                    </w:r>
                    <w:proofErr w:type="gramStart"/>
                    <w:r w:rsidRPr="00BE5C9B">
                      <w:rPr>
                        <w:rFonts w:ascii="Simplified Arabic" w:hAnsi="Simplified Arabic" w:cs="Simplified Arabic"/>
                        <w:b/>
                        <w:bCs/>
                        <w:rtl/>
                        <w:lang w:bidi="ar-DZ"/>
                      </w:rPr>
                      <w:t>العجز</w:t>
                    </w:r>
                    <w:proofErr w:type="gramEnd"/>
                    <w:r w:rsidRPr="00BE5C9B">
                      <w:rPr>
                        <w:rFonts w:ascii="Simplified Arabic" w:hAnsi="Simplified Arabic" w:cs="Simplified Arabic"/>
                        <w:b/>
                        <w:bCs/>
                        <w:rtl/>
                        <w:lang w:bidi="ar-DZ"/>
                      </w:rPr>
                      <w:t xml:space="preserve"> في التمويل</w:t>
                    </w:r>
                  </w:p>
                </w:txbxContent>
              </v:textbox>
            </v:roundrect>
            <v:roundrect id="_x0000_s1031" style="position:absolute;left:7126;top:8465;width:3536;height:711" arcsize="10923f">
              <v:textbox style="mso-next-textbox:#_x0000_s1031">
                <w:txbxContent>
                  <w:p w:rsidR="00BE5C9B" w:rsidRPr="00BE5C9B" w:rsidRDefault="00BE5C9B" w:rsidP="00BE5C9B">
                    <w:pPr>
                      <w:bidi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إمكانية اللجوء للاستدانة (التمويل الخارج)</w:t>
                    </w:r>
                  </w:p>
                </w:txbxContent>
              </v:textbox>
            </v:roundrect>
            <v:roundrect id="_x0000_s1032" style="position:absolute;left:4497;top:6196;width:907;height:3902" arcsize="10923f">
              <v:textbox style="layout-flow:vertical;mso-layout-flow-alt:bottom-to-top;mso-next-textbox:#_x0000_s1032">
                <w:txbxContent>
                  <w:p w:rsidR="000F6DED" w:rsidRPr="000F6DED" w:rsidRDefault="000F6DED">
                    <w:pPr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 w:rsidRPr="000F6DED">
                      <w:rPr>
                        <w:rFonts w:ascii="Simplified Arabic" w:hAnsi="Simplified Arabic" w:cs="Simplified Arabic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القيود والخيارات المتعلقة بالهيكل المالي</w:t>
                    </w:r>
                  </w:p>
                </w:txbxContent>
              </v:textbox>
            </v:roundrect>
            <v:rect id="_x0000_s1034" style="position:absolute;left:995;top:6196;width:1280;height:978">
              <v:textbox style="mso-next-textbox:#_x0000_s1034">
                <w:txbxContent>
                  <w:p w:rsidR="000F6DED" w:rsidRPr="000F6DED" w:rsidRDefault="000F6DED" w:rsidP="000F6DED">
                    <w:pPr>
                      <w:bidi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تكلفة الموارد</w:t>
                    </w:r>
                  </w:p>
                </w:txbxContent>
              </v:textbox>
            </v:rect>
            <v:rect id="_x0000_s1035" style="position:absolute;left:1031;top:7504;width:1280;height:978">
              <v:textbox style="mso-next-textbox:#_x0000_s1035">
                <w:txbxContent>
                  <w:p w:rsidR="000F6DED" w:rsidRPr="000F6DED" w:rsidRDefault="000F6DED" w:rsidP="000F6DED">
                    <w:pPr>
                      <w:bidi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proofErr w:type="gramStart"/>
                    <w:r w:rsidRPr="000F6DED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تقييم</w:t>
                    </w:r>
                    <w:proofErr w:type="gramEnd"/>
                    <w:r w:rsidRPr="000F6DED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 xml:space="preserve"> المخاطر المالية</w:t>
                    </w:r>
                  </w:p>
                </w:txbxContent>
              </v:textbox>
            </v:rect>
            <v:rect id="_x0000_s1036" style="position:absolute;left:890;top:9054;width:1457;height:978">
              <v:textbox style="mso-next-textbox:#_x0000_s1036">
                <w:txbxContent>
                  <w:p w:rsidR="000F6DED" w:rsidRPr="000F6DED" w:rsidRDefault="000F6DED" w:rsidP="000F6DED">
                    <w:pPr>
                      <w:bidi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تقدير العائد من الاستثمارات</w:t>
                    </w:r>
                  </w:p>
                </w:txbxContent>
              </v:textbox>
            </v:rect>
            <v:roundrect id="_x0000_s1037" style="position:absolute;left:9195;top:11022;width:1884;height:925" arcsize="10923f">
              <v:textbox style="mso-next-textbox:#_x0000_s1037">
                <w:txbxContent>
                  <w:p w:rsidR="000F6DED" w:rsidRPr="002A7412" w:rsidRDefault="000F6DED" w:rsidP="002A7412">
                    <w:pPr>
                      <w:bidi/>
                      <w:jc w:val="center"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r w:rsidRPr="002A7412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الرفع في رأس المال العامل</w:t>
                    </w:r>
                  </w:p>
                </w:txbxContent>
              </v:textbox>
            </v:roundrect>
            <v:roundrect id="_x0000_s1040" style="position:absolute;left:7580;top:11130;width:1252;height:800" arcsize="10923f">
              <v:textbox style="mso-next-textbox:#_x0000_s1040">
                <w:txbxContent>
                  <w:p w:rsidR="000F6DED" w:rsidRPr="002A7412" w:rsidRDefault="002A7412" w:rsidP="000F6DED">
                    <w:pPr>
                      <w:bidi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proofErr w:type="gramStart"/>
                    <w:r w:rsidRPr="002A7412">
                      <w:rPr>
                        <w:rFonts w:ascii="Simplified Arabic" w:hAnsi="Simplified Arabic" w:cs="Simplified Arabic"/>
                        <w:b/>
                        <w:bCs/>
                        <w:rtl/>
                        <w:lang w:bidi="ar-DZ"/>
                      </w:rPr>
                      <w:t>الاستدانة</w:t>
                    </w:r>
                    <w:proofErr w:type="gramEnd"/>
                  </w:p>
                </w:txbxContent>
              </v:textbox>
            </v:roundrect>
            <v:roundrect id="_x0000_s1041" style="position:absolute;left:5652;top:11058;width:1377;height:800" arcsize="10923f">
              <v:textbox style="mso-next-textbox:#_x0000_s1041">
                <w:txbxContent>
                  <w:p w:rsidR="002A7412" w:rsidRPr="002A7412" w:rsidRDefault="002A7412" w:rsidP="002A7412">
                    <w:pPr>
                      <w:bidi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proofErr w:type="spellStart"/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الاعانات</w:t>
                    </w:r>
                    <w:proofErr w:type="spellEnd"/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2" type="#_x0000_t32" style="position:absolute;left:7338;top:2060;width:622;height:1031" o:connectortype="straight">
              <v:stroke endarrow="block"/>
            </v:shape>
            <v:shape id="_x0000_s1043" type="#_x0000_t32" style="position:absolute;left:3578;top:2060;width:1253;height:924;flip:x" o:connectortype="straight">
              <v:stroke endarrow="block"/>
            </v:shape>
            <v:shape id="_x0000_s1044" type="#_x0000_t32" style="position:absolute;left:9454;top:3998;width:17;height:2370;flip:x" o:connectortype="straight">
              <v:stroke endarrow="block"/>
            </v:shape>
            <v:shape id="_x0000_s1045" type="#_x0000_t32" style="position:absolute;left:4316;top:3998;width:3306;height:2370" o:connectortype="straight">
              <v:stroke endarrow="block"/>
            </v:shape>
            <v:shape id="_x0000_s1046" type="#_x0000_t32" style="position:absolute;left:8547;top:7221;width:0;height:1244" o:connectortype="straight">
              <v:stroke startarrow="block" endarrow="block"/>
            </v:shape>
            <v:shape id="_x0000_s1047" type="#_x0000_t32" style="position:absolute;left:5524;top:6972;width:1707;height:614;flip:x" o:connectortype="straight">
              <v:stroke startarrow="block" endarrow="block"/>
            </v:shape>
            <v:shape id="_x0000_s1048" type="#_x0000_t32" style="position:absolute;left:5546;top:8284;width:1602;height:686;flip:x y" o:connectortype="straight">
              <v:stroke startarrow="block" endarrow="block"/>
            </v:shape>
            <v:shape id="_x0000_s1049" type="#_x0000_t32" style="position:absolute;left:6222;top:9244;width:1529;height:1778;flip:y" o:connectortype="straight">
              <v:stroke endarrow="block"/>
            </v:shape>
            <v:shape id="_x0000_s1050" type="#_x0000_t32" style="position:absolute;left:8381;top:9176;width:0;height:1778;flip:y" o:connectortype="straight">
              <v:stroke endarrow="block"/>
            </v:shape>
            <v:shape id="_x0000_s1051" type="#_x0000_t32" style="position:absolute;left:9173;top:9176;width:1383;height:1778;flip:x y" o:connectortype="straight">
              <v:stroke endarrow="block"/>
            </v:shape>
            <v:shape id="_x0000_s1052" type="#_x0000_t32" style="position:absolute;left:2311;top:6821;width:2027;height:0;flip:x" o:connectortype="straight">
              <v:stroke startarrow="block" endarrow="block"/>
            </v:shape>
            <v:shape id="_x0000_s1053" type="#_x0000_t32" style="position:absolute;left:2401;top:8115;width:1920;height:0;flip:x" o:connectortype="straight">
              <v:stroke startarrow="block" endarrow="block"/>
            </v:shape>
            <v:shape id="_x0000_s1054" type="#_x0000_t32" style="position:absolute;left:2347;top:9631;width:1920;height:0;flip:x" o:connectortype="straight">
              <v:stroke startarrow="block" endarrow="block"/>
            </v:shape>
          </v:group>
        </w:pict>
      </w:r>
    </w:p>
    <w:p w:rsidR="00A3456F" w:rsidRDefault="00A3456F" w:rsidP="00A3456F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A74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 استخدامات مخطط التمويل: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تتعدد استخدامات مخطط التمويل تبعا لاختلاف حجم المؤسسة وطبيعتها، فعند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انشاء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المؤسسة يعد مخطط التمويل أداة ضرورية للحكم على مستقبلها</w:t>
      </w:r>
      <w:r w:rsidR="003122C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وكذا للتفاوض مع مختلف المتعاملين الماليين للحصول على الموارد الضرورية لممارسة </w:t>
      </w:r>
      <w:proofErr w:type="spellStart"/>
      <w:r w:rsidR="003122C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انشطتها</w:t>
      </w:r>
      <w:proofErr w:type="spellEnd"/>
      <w:r w:rsidR="003122C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122C2" w:rsidRDefault="003122C2" w:rsidP="003122C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وبعد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الانشاء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والمرور نحم مرحلة النمو، يستخدم مخطط التمويل لتحقيق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الاهداف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التالية:</w:t>
      </w:r>
    </w:p>
    <w:p w:rsidR="003122C2" w:rsidRDefault="003122C2" w:rsidP="003122C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lastRenderedPageBreak/>
        <w:t>√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اختبار فعالية الإستراتيجية العامة وتعديل الخطط العملية تبعا لمتغيرات المحيط وإجراء التصحيحات المناسبة على مستوى التوازن الإجمالي للمخطط.</w:t>
      </w:r>
    </w:p>
    <w:p w:rsidR="003122C2" w:rsidRDefault="003122C2" w:rsidP="003122C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√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البحث عن أفضل التوفيقات الممكنة بين الموارد والاستخدامات.</w:t>
      </w:r>
    </w:p>
    <w:p w:rsidR="003122C2" w:rsidRDefault="003122C2" w:rsidP="003122C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√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تبرير اللجوء إلى مصادر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التمويلة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الخارجية.</w:t>
      </w:r>
    </w:p>
    <w:p w:rsidR="003122C2" w:rsidRDefault="003122C2" w:rsidP="003122C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√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تقدير إمكانيات المؤسسة في مجال قدرتها على توزيع الأرباح على المساهمين مستقبلا.</w:t>
      </w: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A7412" w:rsidRPr="008D24AD" w:rsidRDefault="002A7412" w:rsidP="002A741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2A7412" w:rsidRPr="008D24AD" w:rsidSect="002A7412">
      <w:pgSz w:w="11906" w:h="16838"/>
      <w:pgMar w:top="993" w:right="1274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31F"/>
    <w:multiLevelType w:val="hybridMultilevel"/>
    <w:tmpl w:val="4208AD38"/>
    <w:lvl w:ilvl="0" w:tplc="D31E9C06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91B79"/>
    <w:multiLevelType w:val="hybridMultilevel"/>
    <w:tmpl w:val="A332517A"/>
    <w:lvl w:ilvl="0" w:tplc="1DDA9FCA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8A7CDC"/>
    <w:rsid w:val="000F6DED"/>
    <w:rsid w:val="00140F33"/>
    <w:rsid w:val="002A7412"/>
    <w:rsid w:val="003122C2"/>
    <w:rsid w:val="004A6265"/>
    <w:rsid w:val="00587B5A"/>
    <w:rsid w:val="00620801"/>
    <w:rsid w:val="00620CE7"/>
    <w:rsid w:val="006B62AC"/>
    <w:rsid w:val="0070274C"/>
    <w:rsid w:val="00723B13"/>
    <w:rsid w:val="007F4AE6"/>
    <w:rsid w:val="00885794"/>
    <w:rsid w:val="0089703A"/>
    <w:rsid w:val="008A7CDC"/>
    <w:rsid w:val="008D24AD"/>
    <w:rsid w:val="00A3456F"/>
    <w:rsid w:val="00AB3669"/>
    <w:rsid w:val="00AC6D0C"/>
    <w:rsid w:val="00B27670"/>
    <w:rsid w:val="00BE5C9B"/>
    <w:rsid w:val="00C666F6"/>
    <w:rsid w:val="00FC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4" type="connector" idref="#_x0000_s1042"/>
        <o:r id="V:Rule15" type="connector" idref="#_x0000_s1050"/>
        <o:r id="V:Rule16" type="connector" idref="#_x0000_s1044"/>
        <o:r id="V:Rule17" type="connector" idref="#_x0000_s1043"/>
        <o:r id="V:Rule18" type="connector" idref="#_x0000_s1046"/>
        <o:r id="V:Rule19" type="connector" idref="#_x0000_s1051"/>
        <o:r id="V:Rule20" type="connector" idref="#_x0000_s1052"/>
        <o:r id="V:Rule21" type="connector" idref="#_x0000_s1047"/>
        <o:r id="V:Rule22" type="connector" idref="#_x0000_s1054"/>
        <o:r id="V:Rule23" type="connector" idref="#_x0000_s1045"/>
        <o:r id="V:Rule24" type="connector" idref="#_x0000_s1049"/>
        <o:r id="V:Rule25" type="connector" idref="#_x0000_s1048"/>
        <o:r id="V:Rule26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7CDC"/>
    <w:pPr>
      <w:ind w:left="720"/>
      <w:contextualSpacing/>
    </w:pPr>
  </w:style>
  <w:style w:type="table" w:styleId="Grilledutableau">
    <w:name w:val="Table Grid"/>
    <w:basedOn w:val="TableauNormal"/>
    <w:uiPriority w:val="59"/>
    <w:rsid w:val="00897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13</cp:revision>
  <dcterms:created xsi:type="dcterms:W3CDTF">2020-11-22T06:33:00Z</dcterms:created>
  <dcterms:modified xsi:type="dcterms:W3CDTF">2021-12-04T14:26:00Z</dcterms:modified>
</cp:coreProperties>
</file>