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45" w:rsidRDefault="008E0D23" w:rsidP="008E0D23">
      <w:pPr>
        <w:jc w:val="center"/>
        <w:rPr>
          <w:rFonts w:asciiTheme="majorBidi" w:hAnsiTheme="majorBidi" w:cstheme="majorBidi" w:hint="cs"/>
          <w:b/>
          <w:bCs/>
          <w:sz w:val="32"/>
          <w:szCs w:val="32"/>
          <w:rtl/>
          <w:lang w:bidi="ar-DZ"/>
        </w:rPr>
      </w:pPr>
      <w:proofErr w:type="gramStart"/>
      <w:r w:rsidRPr="008E0D23">
        <w:rPr>
          <w:rFonts w:asciiTheme="majorBidi" w:hAnsiTheme="majorBidi" w:cstheme="majorBidi"/>
          <w:b/>
          <w:bCs/>
          <w:sz w:val="32"/>
          <w:szCs w:val="32"/>
          <w:rtl/>
          <w:lang w:bidi="ar-DZ"/>
        </w:rPr>
        <w:t>الترجمة</w:t>
      </w:r>
      <w:proofErr w:type="gramEnd"/>
    </w:p>
    <w:p w:rsidR="008E0D23" w:rsidRDefault="008E0D23" w:rsidP="008E0D23">
      <w:pPr>
        <w:jc w:val="center"/>
        <w:rPr>
          <w:rFonts w:asciiTheme="majorBidi" w:hAnsiTheme="majorBidi" w:cstheme="majorBidi" w:hint="cs"/>
          <w:b/>
          <w:bCs/>
          <w:noProof/>
          <w:sz w:val="32"/>
          <w:szCs w:val="32"/>
          <w:rtl/>
          <w:lang w:eastAsia="fr-FR"/>
        </w:rPr>
      </w:pPr>
      <w:r>
        <w:rPr>
          <w:rFonts w:asciiTheme="majorBidi" w:hAnsiTheme="majorBidi" w:cstheme="majorBidi" w:hint="cs"/>
          <w:b/>
          <w:bCs/>
          <w:noProof/>
          <w:sz w:val="32"/>
          <w:szCs w:val="32"/>
          <w:rtl/>
          <w:lang w:eastAsia="fr-FR"/>
        </w:rPr>
        <w:t>أفغنستان أين يبدأ الصراع الدولي...وأين ينتهي الصراع الإقليمي</w:t>
      </w:r>
    </w:p>
    <w:p w:rsidR="009F23CB" w:rsidRDefault="009F23CB" w:rsidP="008E0D23">
      <w:pPr>
        <w:jc w:val="center"/>
        <w:rPr>
          <w:rFonts w:asciiTheme="majorBidi" w:hAnsiTheme="majorBidi" w:cstheme="majorBidi" w:hint="cs"/>
          <w:b/>
          <w:bCs/>
          <w:noProof/>
          <w:sz w:val="32"/>
          <w:szCs w:val="32"/>
          <w:rtl/>
          <w:lang w:eastAsia="fr-FR"/>
        </w:rPr>
      </w:pPr>
    </w:p>
    <w:p w:rsidR="009F23CB" w:rsidRDefault="009F23CB" w:rsidP="009F23CB">
      <w:pPr>
        <w:bidi/>
        <w:rPr>
          <w:rFonts w:ascii="Simplified Arabic" w:hAnsi="Simplified Arabic" w:cs="Simplified Arabic" w:hint="cs"/>
          <w:sz w:val="28"/>
          <w:szCs w:val="28"/>
          <w:rtl/>
        </w:rPr>
      </w:pPr>
      <w:r>
        <w:rPr>
          <w:rFonts w:ascii="Simplified Arabic" w:hAnsi="Simplified Arabic" w:cs="Simplified Arabic" w:hint="cs"/>
          <w:sz w:val="28"/>
          <w:szCs w:val="28"/>
          <w:rtl/>
        </w:rPr>
        <w:t xml:space="preserve">     تشير حالة الحوار والصراع الداخلي التي جرت في الولايات المتحدة مؤخرا، إلى بدء اعتماد خطة إستراتيجية جديدة في حربها العدوانية على </w:t>
      </w:r>
      <w:proofErr w:type="spellStart"/>
      <w:r>
        <w:rPr>
          <w:rFonts w:ascii="Simplified Arabic" w:hAnsi="Simplified Arabic" w:cs="Simplified Arabic" w:hint="cs"/>
          <w:sz w:val="28"/>
          <w:szCs w:val="28"/>
          <w:rtl/>
        </w:rPr>
        <w:t>أفغنستان</w:t>
      </w:r>
      <w:proofErr w:type="spellEnd"/>
      <w:r>
        <w:rPr>
          <w:rFonts w:ascii="Simplified Arabic" w:hAnsi="Simplified Arabic" w:cs="Simplified Arabic" w:hint="cs"/>
          <w:sz w:val="28"/>
          <w:szCs w:val="28"/>
          <w:rtl/>
        </w:rPr>
        <w:t xml:space="preserve">، تقوم على الاعتراف بالمصالح الاستعمارية للدول الإقليمية والحلفاء الدوليين في </w:t>
      </w:r>
      <w:proofErr w:type="spellStart"/>
      <w:r>
        <w:rPr>
          <w:rFonts w:ascii="Simplified Arabic" w:hAnsi="Simplified Arabic" w:cs="Simplified Arabic" w:hint="cs"/>
          <w:sz w:val="28"/>
          <w:szCs w:val="28"/>
          <w:rtl/>
        </w:rPr>
        <w:t>أفعنستان</w:t>
      </w:r>
      <w:proofErr w:type="spellEnd"/>
      <w:r>
        <w:rPr>
          <w:rFonts w:ascii="Simplified Arabic" w:hAnsi="Simplified Arabic" w:cs="Simplified Arabic" w:hint="cs"/>
          <w:sz w:val="28"/>
          <w:szCs w:val="28"/>
          <w:rtl/>
        </w:rPr>
        <w:t xml:space="preserve"> إلى جانب (مصالحها)، متخلية بذلك عن إستراتيجيتها الأولى التي اعتمدتها قبل ثماني سنوات، وقامت على جلب مساهمة إقليمية ودولية على قاعدة استثمار التناقضات بين الدول وتقاطع المصالح مع بعضها الآخر حول إطاحة حركة طالبان، دون إشراك أي من تلك الدول في إدارة </w:t>
      </w:r>
      <w:proofErr w:type="spellStart"/>
      <w:r>
        <w:rPr>
          <w:rFonts w:ascii="Simplified Arabic" w:hAnsi="Simplified Arabic" w:cs="Simplified Arabic" w:hint="cs"/>
          <w:sz w:val="28"/>
          <w:szCs w:val="28"/>
          <w:rtl/>
        </w:rPr>
        <w:t>أفغنستان</w:t>
      </w:r>
      <w:proofErr w:type="spellEnd"/>
      <w:r>
        <w:rPr>
          <w:rFonts w:ascii="Simplified Arabic" w:hAnsi="Simplified Arabic" w:cs="Simplified Arabic" w:hint="cs"/>
          <w:sz w:val="28"/>
          <w:szCs w:val="28"/>
          <w:rtl/>
        </w:rPr>
        <w:t xml:space="preserve"> المحتلة, وقد جاء التفكير والحوار والتغيير في </w:t>
      </w:r>
      <w:proofErr w:type="spellStart"/>
      <w:r>
        <w:rPr>
          <w:rFonts w:ascii="Simplified Arabic" w:hAnsi="Simplified Arabic" w:cs="Simplified Arabic" w:hint="cs"/>
          <w:sz w:val="28"/>
          <w:szCs w:val="28"/>
          <w:rtl/>
        </w:rPr>
        <w:t>الاستراتيجية</w:t>
      </w:r>
      <w:proofErr w:type="spellEnd"/>
      <w:r>
        <w:rPr>
          <w:rFonts w:ascii="Simplified Arabic" w:hAnsi="Simplified Arabic" w:cs="Simplified Arabic" w:hint="cs"/>
          <w:sz w:val="28"/>
          <w:szCs w:val="28"/>
          <w:rtl/>
        </w:rPr>
        <w:t xml:space="preserve"> الأمريكية، بعد أن أوصلتها إستراتيجيتها الأولى إلى حالة الهزيمة العامة، وهو ما وضعها أمام خيارات خطيرة على أهداف غزوها واحتلالها </w:t>
      </w:r>
      <w:proofErr w:type="spellStart"/>
      <w:r>
        <w:rPr>
          <w:rFonts w:ascii="Simplified Arabic" w:hAnsi="Simplified Arabic" w:cs="Simplified Arabic" w:hint="cs"/>
          <w:sz w:val="28"/>
          <w:szCs w:val="28"/>
          <w:rtl/>
        </w:rPr>
        <w:t>لأفغنستان</w:t>
      </w:r>
      <w:proofErr w:type="spellEnd"/>
      <w:r>
        <w:rPr>
          <w:rFonts w:ascii="Simplified Arabic" w:hAnsi="Simplified Arabic" w:cs="Simplified Arabic" w:hint="cs"/>
          <w:sz w:val="28"/>
          <w:szCs w:val="28"/>
          <w:rtl/>
        </w:rPr>
        <w:t xml:space="preserve"> وعلى وضعيتها الدولية، وهو ما دفعها أيضا إلى اعتماد خيرات أخرى تقوم في جوهرها على تقديم تنازلات أمام الشركاء الدوليين والإقليميين الذي صاروا يطلبون مقابلا، ولم يعودوا في وضعية المكتفي بمجرد المشاركة بالوجود على الأرض الأفغانية، </w:t>
      </w:r>
      <w:proofErr w:type="spellStart"/>
      <w:r>
        <w:rPr>
          <w:rFonts w:ascii="Simplified Arabic" w:hAnsi="Simplified Arabic" w:cs="Simplified Arabic" w:hint="cs"/>
          <w:sz w:val="28"/>
          <w:szCs w:val="28"/>
          <w:rtl/>
        </w:rPr>
        <w:t>كموطىء</w:t>
      </w:r>
      <w:proofErr w:type="spellEnd"/>
      <w:r>
        <w:rPr>
          <w:rFonts w:ascii="Simplified Arabic" w:hAnsi="Simplified Arabic" w:cs="Simplified Arabic" w:hint="cs"/>
          <w:sz w:val="28"/>
          <w:szCs w:val="28"/>
          <w:rtl/>
        </w:rPr>
        <w:t xml:space="preserve"> قدم عند بعضهم، أو أن يكون نصيبهم مقتصرا على مجرد إضعاف خصومهم.        </w:t>
      </w:r>
    </w:p>
    <w:p w:rsidR="00421FFE" w:rsidRDefault="009F23CB" w:rsidP="009F23CB">
      <w:pPr>
        <w:bidi/>
        <w:jc w:val="right"/>
        <w:rPr>
          <w:rFonts w:ascii="Simplified Arabic" w:hAnsi="Simplified Arabic" w:cs="Simplified Arabic"/>
          <w:sz w:val="28"/>
          <w:szCs w:val="28"/>
        </w:rPr>
      </w:pPr>
      <w:r>
        <w:rPr>
          <w:rFonts w:ascii="Simplified Arabic" w:hAnsi="Simplified Arabic" w:cs="Simplified Arabic" w:hint="cs"/>
          <w:sz w:val="28"/>
          <w:szCs w:val="28"/>
          <w:rtl/>
        </w:rPr>
        <w:t xml:space="preserve">مجلة البيان، </w:t>
      </w:r>
      <w:proofErr w:type="gramStart"/>
      <w:r>
        <w:rPr>
          <w:rFonts w:ascii="Simplified Arabic" w:hAnsi="Simplified Arabic" w:cs="Simplified Arabic" w:hint="cs"/>
          <w:sz w:val="28"/>
          <w:szCs w:val="28"/>
          <w:rtl/>
        </w:rPr>
        <w:t>العدد</w:t>
      </w:r>
      <w:proofErr w:type="gramEnd"/>
      <w:r>
        <w:rPr>
          <w:rFonts w:ascii="Simplified Arabic" w:hAnsi="Simplified Arabic" w:cs="Simplified Arabic" w:hint="cs"/>
          <w:sz w:val="28"/>
          <w:szCs w:val="28"/>
          <w:rtl/>
        </w:rPr>
        <w:t xml:space="preserve"> 269، ص </w:t>
      </w:r>
      <w:r w:rsidR="00583107">
        <w:rPr>
          <w:rFonts w:ascii="Simplified Arabic" w:hAnsi="Simplified Arabic" w:cs="Simplified Arabic" w:hint="cs"/>
          <w:sz w:val="28"/>
          <w:szCs w:val="28"/>
          <w:rtl/>
        </w:rPr>
        <w:t>42</w:t>
      </w:r>
    </w:p>
    <w:p w:rsidR="009F23CB" w:rsidRDefault="00421FFE" w:rsidP="00421FFE">
      <w:pPr>
        <w:bidi/>
        <w:jc w:val="center"/>
        <w:rPr>
          <w:rFonts w:ascii="Simplified Arabic" w:hAnsi="Simplified Arabic" w:cs="Simplified Arabic" w:hint="cs"/>
          <w:sz w:val="28"/>
          <w:szCs w:val="28"/>
          <w:u w:val="single"/>
          <w:rtl/>
          <w:lang w:bidi="ar-DZ"/>
        </w:rPr>
      </w:pPr>
      <w:proofErr w:type="gramStart"/>
      <w:r w:rsidRPr="00421FFE">
        <w:rPr>
          <w:rFonts w:ascii="Simplified Arabic" w:hAnsi="Simplified Arabic" w:cs="Simplified Arabic" w:hint="cs"/>
          <w:sz w:val="28"/>
          <w:szCs w:val="28"/>
          <w:u w:val="single"/>
          <w:rtl/>
          <w:lang w:bidi="ar-DZ"/>
        </w:rPr>
        <w:t>التعريب</w:t>
      </w:r>
      <w:proofErr w:type="gramEnd"/>
      <w:r w:rsidRPr="00421FFE">
        <w:rPr>
          <w:rFonts w:ascii="Simplified Arabic" w:hAnsi="Simplified Arabic" w:cs="Simplified Arabic" w:hint="cs"/>
          <w:sz w:val="28"/>
          <w:szCs w:val="28"/>
          <w:u w:val="single"/>
          <w:rtl/>
          <w:lang w:bidi="ar-DZ"/>
        </w:rPr>
        <w:t xml:space="preserve"> </w:t>
      </w:r>
    </w:p>
    <w:p w:rsidR="00421FFE" w:rsidRPr="00421FFE" w:rsidRDefault="00421FFE" w:rsidP="00421FFE">
      <w:pPr>
        <w:autoSpaceDE w:val="0"/>
        <w:autoSpaceDN w:val="0"/>
        <w:adjustRightInd w:val="0"/>
        <w:spacing w:after="0" w:line="480" w:lineRule="auto"/>
        <w:rPr>
          <w:rFonts w:asciiTheme="majorBidi" w:hAnsiTheme="majorBidi" w:cstheme="majorBidi"/>
          <w:sz w:val="28"/>
          <w:szCs w:val="28"/>
        </w:rPr>
      </w:pPr>
      <w:r w:rsidRPr="00421FFE">
        <w:rPr>
          <w:rFonts w:asciiTheme="majorBidi" w:hAnsiTheme="majorBidi" w:cstheme="majorBidi"/>
          <w:sz w:val="28"/>
          <w:szCs w:val="28"/>
        </w:rPr>
        <w:t>Art. 5.  La protection de l’enfant incombe aux</w:t>
      </w:r>
      <w:r w:rsidRPr="00421FFE">
        <w:rPr>
          <w:rFonts w:asciiTheme="majorBidi" w:hAnsiTheme="majorBidi" w:cstheme="majorBidi"/>
          <w:sz w:val="28"/>
          <w:szCs w:val="28"/>
          <w:rtl/>
          <w:lang w:bidi="ar-DZ"/>
        </w:rPr>
        <w:t xml:space="preserve"> </w:t>
      </w:r>
      <w:r w:rsidRPr="00421FFE">
        <w:rPr>
          <w:rFonts w:asciiTheme="majorBidi" w:hAnsiTheme="majorBidi" w:cstheme="majorBidi"/>
          <w:sz w:val="28"/>
          <w:szCs w:val="28"/>
        </w:rPr>
        <w:t>parents.</w:t>
      </w:r>
      <w:r w:rsidRPr="00421FFE">
        <w:rPr>
          <w:rFonts w:asciiTheme="majorBidi" w:hAnsiTheme="majorBidi" w:cstheme="majorBidi"/>
          <w:sz w:val="28"/>
          <w:szCs w:val="28"/>
          <w:rtl/>
          <w:lang w:bidi="ar-DZ"/>
        </w:rPr>
        <w:t xml:space="preserve"> </w:t>
      </w:r>
      <w:r w:rsidRPr="00421FFE">
        <w:rPr>
          <w:rFonts w:asciiTheme="majorBidi" w:hAnsiTheme="majorBidi" w:cstheme="majorBidi"/>
          <w:sz w:val="28"/>
          <w:szCs w:val="28"/>
        </w:rPr>
        <w:t>La réunion des conditions de vie nécessaires à son</w:t>
      </w:r>
      <w:r w:rsidRPr="00421FFE">
        <w:rPr>
          <w:rFonts w:asciiTheme="majorBidi" w:hAnsiTheme="majorBidi" w:cstheme="majorBidi"/>
          <w:sz w:val="28"/>
          <w:szCs w:val="28"/>
          <w:rtl/>
          <w:lang w:bidi="ar-DZ"/>
        </w:rPr>
        <w:t xml:space="preserve"> </w:t>
      </w:r>
      <w:r w:rsidRPr="00421FFE">
        <w:rPr>
          <w:rFonts w:asciiTheme="majorBidi" w:hAnsiTheme="majorBidi" w:cstheme="majorBidi"/>
          <w:sz w:val="28"/>
          <w:szCs w:val="28"/>
        </w:rPr>
        <w:t>épanouissement incombe également aux parents dans la</w:t>
      </w:r>
      <w:r w:rsidRPr="00421FFE">
        <w:rPr>
          <w:rFonts w:asciiTheme="majorBidi" w:hAnsiTheme="majorBidi" w:cstheme="majorBidi"/>
          <w:sz w:val="28"/>
          <w:szCs w:val="28"/>
          <w:rtl/>
          <w:lang w:bidi="ar-DZ"/>
        </w:rPr>
        <w:t xml:space="preserve"> </w:t>
      </w:r>
      <w:r w:rsidRPr="00421FFE">
        <w:rPr>
          <w:rFonts w:asciiTheme="majorBidi" w:hAnsiTheme="majorBidi" w:cstheme="majorBidi"/>
          <w:sz w:val="28"/>
          <w:szCs w:val="28"/>
        </w:rPr>
        <w:t>limite de leurs moyens financiers et de leur capacité.</w:t>
      </w:r>
      <w:r w:rsidRPr="00421FFE">
        <w:rPr>
          <w:rFonts w:asciiTheme="majorBidi" w:hAnsiTheme="majorBidi" w:cstheme="majorBidi"/>
          <w:sz w:val="28"/>
          <w:szCs w:val="28"/>
          <w:rtl/>
          <w:lang w:bidi="ar-DZ"/>
        </w:rPr>
        <w:t xml:space="preserve"> </w:t>
      </w:r>
      <w:r w:rsidRPr="00421FFE">
        <w:rPr>
          <w:rFonts w:asciiTheme="majorBidi" w:hAnsiTheme="majorBidi" w:cstheme="majorBidi"/>
          <w:sz w:val="28"/>
          <w:szCs w:val="28"/>
        </w:rPr>
        <w:t>L’Etat fournit l’aide matérielle nécessaire pour garantir</w:t>
      </w:r>
      <w:r w:rsidRPr="00421FFE">
        <w:rPr>
          <w:rFonts w:asciiTheme="majorBidi" w:hAnsiTheme="majorBidi" w:cstheme="majorBidi"/>
          <w:sz w:val="28"/>
          <w:szCs w:val="28"/>
          <w:rtl/>
          <w:lang w:bidi="ar-DZ"/>
        </w:rPr>
        <w:t xml:space="preserve"> </w:t>
      </w:r>
      <w:r w:rsidRPr="00421FFE">
        <w:rPr>
          <w:rFonts w:asciiTheme="majorBidi" w:hAnsiTheme="majorBidi" w:cstheme="majorBidi"/>
          <w:sz w:val="28"/>
          <w:szCs w:val="28"/>
        </w:rPr>
        <w:t>à l’enfant le droit à la protection et à la sauvegarde.</w:t>
      </w:r>
      <w:r w:rsidRPr="00421FFE">
        <w:rPr>
          <w:rFonts w:asciiTheme="majorBidi" w:hAnsiTheme="majorBidi" w:cstheme="majorBidi"/>
          <w:sz w:val="28"/>
          <w:szCs w:val="28"/>
          <w:rtl/>
          <w:lang w:bidi="ar-DZ"/>
        </w:rPr>
        <w:t xml:space="preserve"> </w:t>
      </w:r>
      <w:r w:rsidRPr="00421FFE">
        <w:rPr>
          <w:rFonts w:asciiTheme="majorBidi" w:hAnsiTheme="majorBidi" w:cstheme="majorBidi"/>
          <w:sz w:val="28"/>
          <w:szCs w:val="28"/>
        </w:rPr>
        <w:t>Les collectivités locales peuvent contribuer à l’aide de L’enfance conformément à la législation en vigueur.</w:t>
      </w:r>
    </w:p>
    <w:p w:rsidR="00421FFE" w:rsidRPr="00421FFE" w:rsidRDefault="00421FFE" w:rsidP="00421FFE">
      <w:pPr>
        <w:autoSpaceDE w:val="0"/>
        <w:autoSpaceDN w:val="0"/>
        <w:adjustRightInd w:val="0"/>
        <w:spacing w:after="0" w:line="480" w:lineRule="auto"/>
        <w:rPr>
          <w:rFonts w:asciiTheme="majorBidi" w:hAnsiTheme="majorBidi" w:cstheme="majorBidi"/>
          <w:sz w:val="28"/>
          <w:szCs w:val="28"/>
          <w:rtl/>
        </w:rPr>
      </w:pPr>
      <w:r w:rsidRPr="00421FFE">
        <w:rPr>
          <w:rFonts w:asciiTheme="majorBidi" w:hAnsiTheme="majorBidi" w:cstheme="majorBidi"/>
          <w:sz w:val="28"/>
          <w:szCs w:val="28"/>
        </w:rPr>
        <w:lastRenderedPageBreak/>
        <w:t>L’Etat garantit à l’enfant privé de famille, le droit à une protection de substitution. Les conditions et modalités d’application du présent article sont fixées par voie réglementaire.</w:t>
      </w:r>
    </w:p>
    <w:sectPr w:rsidR="00421FFE" w:rsidRPr="00421FFE" w:rsidSect="00F475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8E0D23"/>
    <w:rsid w:val="00385314"/>
    <w:rsid w:val="00421FFE"/>
    <w:rsid w:val="00583107"/>
    <w:rsid w:val="008E0D23"/>
    <w:rsid w:val="009F23CB"/>
    <w:rsid w:val="00B955E4"/>
    <w:rsid w:val="00F475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0D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0D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264</Words>
  <Characters>1453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2022-11-10T08:16:00Z</dcterms:created>
  <dcterms:modified xsi:type="dcterms:W3CDTF">2022-11-10T09:20:00Z</dcterms:modified>
</cp:coreProperties>
</file>