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53" w:rsidRDefault="00020153" w:rsidP="00020153">
      <w:pPr>
        <w:tabs>
          <w:tab w:val="left" w:pos="4073"/>
        </w:tabs>
        <w:bidi/>
        <w:spacing w:line="240" w:lineRule="auto"/>
        <w:ind w:right="-851"/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</w:pPr>
      <w:proofErr w:type="gramStart"/>
      <w:r w:rsidRPr="00A26301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المحاضرة</w:t>
      </w:r>
      <w:proofErr w:type="gramEnd"/>
      <w:r w:rsidRPr="00A26301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08:</w:t>
      </w:r>
      <w:r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 xml:space="preserve">                     </w:t>
      </w:r>
    </w:p>
    <w:p w:rsidR="00020153" w:rsidRPr="00A26301" w:rsidRDefault="00020153" w:rsidP="00020153">
      <w:pPr>
        <w:tabs>
          <w:tab w:val="left" w:pos="4073"/>
        </w:tabs>
        <w:bidi/>
        <w:spacing w:line="240" w:lineRule="auto"/>
        <w:ind w:right="-851"/>
        <w:rPr>
          <w:rFonts w:ascii="Arabic Typesetting" w:hAnsi="Arabic Typesetting" w:cs="Arabic Typesetting"/>
          <w:b/>
          <w:bCs/>
          <w:sz w:val="52"/>
          <w:szCs w:val="52"/>
          <w:lang w:bidi="ar-DZ"/>
        </w:rPr>
      </w:pPr>
      <w:r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 xml:space="preserve">                                   </w:t>
      </w:r>
      <w:r w:rsidRPr="00A26301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غرفة الاتهام</w:t>
      </w:r>
    </w:p>
    <w:p w:rsidR="00020153" w:rsidRPr="00407B52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توجد على مستوى كل مجلس قضائي غرفة اتهام </w:t>
      </w:r>
      <w:proofErr w:type="gram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واحدة ،</w:t>
      </w:r>
      <w:proofErr w:type="gram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و هي جهة قضاء تحقيق درجة ثانية ، و مهمتها مراقبة أعمال قاضي التحقيق، و تقوم بإتمام هذه الأعمال بإجراء تحقيق تكميلي أو إعادة التحقيق في جوانب معينة من الدعوى .</w:t>
      </w:r>
    </w:p>
    <w:p w:rsidR="00020153" w:rsidRPr="00407B52" w:rsidRDefault="00020153" w:rsidP="00020153">
      <w:pPr>
        <w:bidi/>
        <w:spacing w:line="240" w:lineRule="auto"/>
        <w:ind w:left="-567" w:right="-993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كما تعتبر غرفة الاتهام درجة </w:t>
      </w:r>
      <w:proofErr w:type="gram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استئناف</w:t>
      </w:r>
      <w:proofErr w:type="gram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لأوامر قاضي التحقيق، و رأينا سابقا أنها جهة رقابة لأعمال الضبطية القضائية.</w:t>
      </w:r>
    </w:p>
    <w:p w:rsidR="00020153" w:rsidRPr="00407B52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مع</w:t>
      </w:r>
      <w:proofErr w:type="gram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الإشارة إلى أن اختصاصها المحلي محدود بدائرة المجلس القضائي، و يطلق عليها الفقهاء المصفاة الواقعة بين قضاء التحقيق و قضاء الحكم.</w:t>
      </w:r>
    </w:p>
    <w:p w:rsidR="00020153" w:rsidRPr="009553F4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</w:pPr>
      <w:proofErr w:type="gramStart"/>
      <w:r w:rsidRPr="009553F4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  <w:t>مه</w:t>
      </w:r>
      <w:r w:rsidRPr="009553F4"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  <w:t>ـــــــ</w:t>
      </w:r>
      <w:r w:rsidRPr="009553F4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  <w:t>امها</w:t>
      </w:r>
      <w:proofErr w:type="gramEnd"/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  <w:t>:</w:t>
      </w:r>
    </w:p>
    <w:p w:rsidR="00020153" w:rsidRPr="009553F4" w:rsidRDefault="00020153" w:rsidP="00020153">
      <w:pPr>
        <w:bidi/>
        <w:spacing w:line="240" w:lineRule="auto"/>
        <w:ind w:right="-851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-</w:t>
      </w:r>
      <w:proofErr w:type="gramStart"/>
      <w:r w:rsidRPr="009553F4">
        <w:rPr>
          <w:rFonts w:ascii="Arabic Typesetting" w:hAnsi="Arabic Typesetting" w:cs="Arabic Typesetting"/>
          <w:sz w:val="44"/>
          <w:szCs w:val="44"/>
          <w:rtl/>
          <w:lang w:bidi="ar-DZ"/>
        </w:rPr>
        <w:t>تسوية</w:t>
      </w:r>
      <w:proofErr w:type="gramEnd"/>
      <w:r w:rsidRPr="009553F4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الاختصاص المحلي</w:t>
      </w:r>
    </w:p>
    <w:p w:rsidR="00020153" w:rsidRPr="00407B52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  -</w:t>
      </w: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تنظر في تنازع الاختصاص بين قضاة التحقيق التابعين لنفس المجلس</w:t>
      </w:r>
    </w:p>
    <w:p w:rsidR="00020153" w:rsidRPr="00407B52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   -</w:t>
      </w: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البت في مسائل الحبس المؤقت و استرجاع الأشياء المحجوزة</w:t>
      </w:r>
    </w:p>
    <w:p w:rsidR="00020153" w:rsidRPr="00407B52" w:rsidRDefault="00020153" w:rsidP="00020153">
      <w:pPr>
        <w:bidi/>
        <w:spacing w:line="240" w:lineRule="auto"/>
        <w:ind w:right="-851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-</w:t>
      </w: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تنظر في صحة الإجراءات ( م 191 ق إ ج </w:t>
      </w:r>
      <w:proofErr w:type="spell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ج</w:t>
      </w:r>
      <w:proofErr w:type="spell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)</w:t>
      </w:r>
    </w:p>
    <w:p w:rsidR="00020153" w:rsidRPr="00407B52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    -</w:t>
      </w: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تأمر بإعادة التحقيق</w:t>
      </w:r>
    </w:p>
    <w:p w:rsidR="00020153" w:rsidRPr="009553F4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9553F4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تشكيلتها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:</w:t>
      </w:r>
    </w:p>
    <w:p w:rsidR="00020153" w:rsidRPr="00407B52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تتشكل غرفة الاتهام من رئيس و </w:t>
      </w:r>
      <w:proofErr w:type="gram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عضويين</w:t>
      </w:r>
      <w:proofErr w:type="gram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من المستشارين بالمجلس القضائي</w:t>
      </w:r>
    </w:p>
    <w:p w:rsidR="00020153" w:rsidRPr="00407B52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تنعقد</w:t>
      </w:r>
      <w:proofErr w:type="gram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غرفة الاتهام إما باستدعاء من رئيسها أو بناء على طلب النيابة العامة كلما اقتضت الضرورة ذلك</w:t>
      </w:r>
    </w:p>
    <w:p w:rsidR="00020153" w:rsidRPr="00407B52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ويهيئ النائب العام القضية قبل 5 أيام من انعقادها و يقدم طلباته مع أوراق القضية م 179 ق إ ج </w:t>
      </w:r>
      <w:proofErr w:type="spell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ج</w:t>
      </w:r>
      <w:proofErr w:type="spell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.</w:t>
      </w:r>
    </w:p>
    <w:p w:rsidR="00020153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 w:hint="cs"/>
          <w:sz w:val="44"/>
          <w:szCs w:val="44"/>
          <w:rtl/>
          <w:lang w:bidi="ar-DZ"/>
        </w:rPr>
      </w:pP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ويعين تاريخ الجلسة و يبلغ هذا التاريخ بكتاب موصى عليه لكل </w:t>
      </w:r>
      <w:proofErr w:type="gram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الأطراف  و</w:t>
      </w:r>
      <w:proofErr w:type="gram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محاميهم، مع مراعاة 48 ساعة في حالة الحبس المؤقت و 5 أيام في الحالات الأخرى بين تاريخ إرسال الكتاب الموصى عليه و تاريخ انعقاد الجلسة و إلا كان الإجراء باطلا.</w:t>
      </w:r>
    </w:p>
    <w:p w:rsidR="00020153" w:rsidRPr="00407B52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lastRenderedPageBreak/>
        <w:t xml:space="preserve"> </w:t>
      </w: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لا يحسب </w:t>
      </w:r>
      <w:proofErr w:type="gram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يوم</w:t>
      </w:r>
      <w:proofErr w:type="gram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الإرسال و يوم الجلسة.</w:t>
      </w:r>
    </w:p>
    <w:p w:rsidR="00020153" w:rsidRPr="00407B52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يسمح للخصوم و محاميهم تقديم مذكرات يطلعون عليها النيابة العامة </w:t>
      </w:r>
      <w:proofErr w:type="spell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الى</w:t>
      </w:r>
      <w:proofErr w:type="spell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يوم الجلسة و تودع المذكرات لدى كتابة ضبط غرفة الاتهام م 183 ق إ ج </w:t>
      </w:r>
      <w:proofErr w:type="spell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ج</w:t>
      </w:r>
      <w:proofErr w:type="spell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.</w:t>
      </w:r>
    </w:p>
    <w:p w:rsidR="00020153" w:rsidRPr="00A26301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</w:pPr>
      <w:proofErr w:type="gramStart"/>
      <w:r w:rsidRPr="00A26301"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bidi="ar-DZ"/>
        </w:rPr>
        <w:t>المرافعة</w:t>
      </w:r>
      <w:proofErr w:type="gramEnd"/>
    </w:p>
    <w:p w:rsidR="00020153" w:rsidRPr="00407B52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يفصل المجلس في القضية في غرفة المشورة بعد تلاوة تقرير المستشار المنتدب و النظر في المذكرات المودعة لدى النائب العام و كذا طلباته، و لا يسمح لمحامي المتهم </w:t>
      </w:r>
      <w:proofErr w:type="spell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او</w:t>
      </w:r>
      <w:proofErr w:type="spell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محامي المدعي المدني بالمرافعة أو إبداء ملاحظات شفوية م 184 ق إ ج </w:t>
      </w:r>
      <w:proofErr w:type="spell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ج</w:t>
      </w:r>
      <w:proofErr w:type="spell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.</w:t>
      </w:r>
    </w:p>
    <w:p w:rsidR="00020153" w:rsidRPr="00407B52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يجوز لغرفة الاتهام استحضار الخصوم شخصيا و في حالة حضورهم </w:t>
      </w:r>
      <w:proofErr w:type="gram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يحضر</w:t>
      </w:r>
      <w:proofErr w:type="gram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معهم المحامون م 105-107 ق إ ج </w:t>
      </w:r>
      <w:proofErr w:type="spell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ج</w:t>
      </w:r>
      <w:proofErr w:type="spell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.</w:t>
      </w:r>
    </w:p>
    <w:p w:rsidR="00020153" w:rsidRPr="00A26301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</w:pPr>
      <w:proofErr w:type="gramStart"/>
      <w:r w:rsidRPr="00A26301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  <w:t>المداولة</w:t>
      </w:r>
      <w:proofErr w:type="gramEnd"/>
    </w:p>
    <w:p w:rsidR="00020153" w:rsidRPr="00407B52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يمكن أن تكون المداولة مباشرة بعد المرافعة أو تؤجل إلى جلسة أخرى، فتوضع القضية في المداولة و تدرس دراسة دقيقة و تجرى المداولات بغير </w:t>
      </w:r>
      <w:r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حضور النائب العام أو الخصوم </w:t>
      </w: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أو </w:t>
      </w:r>
      <w:r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المحامون أو الكاتب أو المترجم (م 185 ق إ ج </w:t>
      </w: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).</w:t>
      </w:r>
    </w:p>
    <w:p w:rsidR="00020153" w:rsidRPr="00407B52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وتفصل الغرفة في الدعوى باسم المجلس في غرفة المشورة.</w:t>
      </w:r>
    </w:p>
    <w:p w:rsidR="00020153" w:rsidRPr="00A26301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</w:pPr>
      <w:proofErr w:type="gramStart"/>
      <w:r w:rsidRPr="00A26301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  <w:t>مميزات</w:t>
      </w:r>
      <w:proofErr w:type="gramEnd"/>
      <w:r w:rsidRPr="00A26301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  <w:t xml:space="preserve"> غرفة الاتهام</w:t>
      </w:r>
    </w:p>
    <w:p w:rsidR="00020153" w:rsidRPr="00407B52" w:rsidRDefault="00020153" w:rsidP="00020153">
      <w:pPr>
        <w:numPr>
          <w:ilvl w:val="0"/>
          <w:numId w:val="4"/>
        </w:numPr>
        <w:bidi/>
        <w:spacing w:line="240" w:lineRule="auto"/>
        <w:ind w:left="-567" w:right="-851" w:firstLine="0"/>
        <w:rPr>
          <w:rFonts w:ascii="Arabic Typesetting" w:hAnsi="Arabic Typesetting" w:cs="Arabic Typesetting"/>
          <w:sz w:val="44"/>
          <w:szCs w:val="44"/>
          <w:lang w:bidi="ar-DZ"/>
        </w:rPr>
      </w:pP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السرعة و الإجراءات الكتابية: حيث ألزم قانون الإجراءات الجزائية غرفة الاتهام بالفصل في الدعوى بأسرع وقت ممكن و في مهل حددها القانون.</w:t>
      </w:r>
    </w:p>
    <w:p w:rsidR="00020153" w:rsidRPr="00407B52" w:rsidRDefault="00020153" w:rsidP="00020153">
      <w:pPr>
        <w:numPr>
          <w:ilvl w:val="0"/>
          <w:numId w:val="4"/>
        </w:numPr>
        <w:bidi/>
        <w:spacing w:line="240" w:lineRule="auto"/>
        <w:ind w:left="-567" w:right="-851" w:firstLine="0"/>
        <w:rPr>
          <w:rFonts w:ascii="Arabic Typesetting" w:hAnsi="Arabic Typesetting" w:cs="Arabic Typesetting"/>
          <w:sz w:val="44"/>
          <w:szCs w:val="44"/>
          <w:lang w:bidi="ar-DZ"/>
        </w:rPr>
      </w:pPr>
      <w:proofErr w:type="gram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عدم</w:t>
      </w:r>
      <w:proofErr w:type="gram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وجود المرافعات الشفوية: ما يلاحظ أن المرافعات الشفوية غير موجودة، فقد سمح القانون للأطراف تقديم مذكرات كتابية فقط.</w:t>
      </w:r>
    </w:p>
    <w:p w:rsidR="00020153" w:rsidRPr="009553F4" w:rsidRDefault="00020153" w:rsidP="00020153">
      <w:pPr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u w:val="single"/>
          <w:rtl/>
          <w:lang w:bidi="ar-DZ"/>
        </w:rPr>
      </w:pPr>
      <w:proofErr w:type="gramStart"/>
      <w:r w:rsidRPr="009553F4">
        <w:rPr>
          <w:rFonts w:ascii="Arabic Typesetting" w:hAnsi="Arabic Typesetting" w:cs="Arabic Typesetting"/>
          <w:sz w:val="44"/>
          <w:szCs w:val="44"/>
          <w:u w:val="single"/>
          <w:rtl/>
          <w:lang w:bidi="ar-DZ"/>
        </w:rPr>
        <w:t>اختصاصات</w:t>
      </w:r>
      <w:proofErr w:type="gramEnd"/>
      <w:r w:rsidRPr="009553F4">
        <w:rPr>
          <w:rFonts w:ascii="Arabic Typesetting" w:hAnsi="Arabic Typesetting" w:cs="Arabic Typesetting"/>
          <w:sz w:val="44"/>
          <w:szCs w:val="44"/>
          <w:u w:val="single"/>
          <w:rtl/>
          <w:lang w:bidi="ar-DZ"/>
        </w:rPr>
        <w:t xml:space="preserve"> غرفة الاتهام</w:t>
      </w:r>
    </w:p>
    <w:p w:rsidR="00020153" w:rsidRPr="00407B52" w:rsidRDefault="00020153" w:rsidP="00020153">
      <w:pPr>
        <w:tabs>
          <w:tab w:val="left" w:pos="1125"/>
        </w:tabs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-</w:t>
      </w:r>
      <w:proofErr w:type="gram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استئناف</w:t>
      </w:r>
      <w:proofErr w:type="gram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أوامر قاضي التحقيق: حيث تنظر أولا في توافر الشروط الشكلية في الاستئناف كالأجل القانوني له، فإذا توافرت انتقل النظر إلى الشروط الموضوعية من حيث أسباب الاستئناف و قابلية الأمر للاستئناف أمام غرفة الاتهام.</w:t>
      </w:r>
    </w:p>
    <w:p w:rsidR="00020153" w:rsidRPr="00407B52" w:rsidRDefault="00020153" w:rsidP="00020153">
      <w:pPr>
        <w:tabs>
          <w:tab w:val="left" w:pos="1125"/>
        </w:tabs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lastRenderedPageBreak/>
        <w:t>-</w:t>
      </w:r>
      <w:proofErr w:type="gram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الإفراج</w:t>
      </w:r>
      <w:proofErr w:type="gram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المؤقت: م 126 ق إ ج </w:t>
      </w:r>
      <w:proofErr w:type="spell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ج</w:t>
      </w:r>
      <w:proofErr w:type="spellEnd"/>
    </w:p>
    <w:p w:rsidR="00020153" w:rsidRPr="00407B52" w:rsidRDefault="00020153" w:rsidP="00020153">
      <w:pPr>
        <w:tabs>
          <w:tab w:val="left" w:pos="1125"/>
        </w:tabs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يجوز للمتهم طلب الإفراج المؤقت ، حيث يطلع قاضي التحقيق وكيل الجمهورية على هذا الطلب لإبداء رأيه خلال 5 أيام ، و على قاضي التحقيق البت في الطلب خلال 10 أيام من إرساله لوكيل الجمهورية، و في حالة عدم فصله في الطلب يرفع المتهم هذا الطلب إلى غرفة الاتهام لإصدار قرارها فيه بعد الاطلاع على رأي النائب العام في ظرف 30 يوما من تاريخ الطلب، و إلا تعين الإفراج المؤقت تلقائيا.</w:t>
      </w:r>
    </w:p>
    <w:p w:rsidR="00020153" w:rsidRPr="00407B52" w:rsidRDefault="00020153" w:rsidP="00020153">
      <w:pPr>
        <w:tabs>
          <w:tab w:val="left" w:pos="1125"/>
        </w:tabs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كما</w:t>
      </w:r>
      <w:proofErr w:type="gram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يجوز لوكيل الجمهورية رفع هذا الطلب إلى غرفة الاتهام بنفس الشروط      ( م 127 ق إ ج </w:t>
      </w:r>
      <w:proofErr w:type="spell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ج</w:t>
      </w:r>
      <w:proofErr w:type="spell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).</w:t>
      </w:r>
    </w:p>
    <w:p w:rsidR="00020153" w:rsidRPr="00407B52" w:rsidRDefault="00020153" w:rsidP="00020153">
      <w:pPr>
        <w:tabs>
          <w:tab w:val="left" w:pos="1125"/>
        </w:tabs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وتكون</w:t>
      </w:r>
      <w:proofErr w:type="gram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سلطة الإفراج المؤقت عن المحبوس مؤقتا لغرفة الاتهام قبل إحالة الدعوى على محكمة الجنايات و كذا الفترات الواقعة بين دورات انعقاد المحكمة ( م 128/4 ق إ ج </w:t>
      </w:r>
      <w:proofErr w:type="spell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ج</w:t>
      </w:r>
      <w:proofErr w:type="spell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).</w:t>
      </w:r>
    </w:p>
    <w:p w:rsidR="00020153" w:rsidRPr="00407B52" w:rsidRDefault="00020153" w:rsidP="00020153">
      <w:pPr>
        <w:tabs>
          <w:tab w:val="left" w:pos="1125"/>
        </w:tabs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كما</w:t>
      </w:r>
      <w:proofErr w:type="gram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تنظر غرفة الاتهام في طلبات الإفراج المؤقت حال صدور حكم بعدم الاختصاص ( م 128/6 ق إ ج </w:t>
      </w:r>
      <w:proofErr w:type="spell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ج</w:t>
      </w:r>
      <w:proofErr w:type="spell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).</w:t>
      </w:r>
    </w:p>
    <w:p w:rsidR="00020153" w:rsidRPr="00407B52" w:rsidRDefault="00020153" w:rsidP="00020153">
      <w:pPr>
        <w:tabs>
          <w:tab w:val="left" w:pos="1125"/>
        </w:tabs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وخلاصة</w:t>
      </w:r>
      <w:proofErr w:type="gram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القول أن سلطات غرفة الاتهام في الإفراج المؤقت تكون كما يلي،</w:t>
      </w:r>
    </w:p>
    <w:p w:rsidR="00020153" w:rsidRPr="00407B52" w:rsidRDefault="00020153" w:rsidP="00020153">
      <w:pPr>
        <w:tabs>
          <w:tab w:val="left" w:pos="1125"/>
        </w:tabs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-</w:t>
      </w:r>
      <w:proofErr w:type="gram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إذا</w:t>
      </w:r>
      <w:proofErr w:type="gram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قدم المتهم أو محاميه طلب الإفراج المؤقت لقاضي التحقيق و لم يبت فيه خلال المدة القانونية ( م 127/3 ق إ ج ج)، فيجوز للمتهم رفع الطلب إلى غرفة الاتهام، كما يحق رفع الطلب من طرف وكيل الجمهورية بنفس الشروط.</w:t>
      </w:r>
    </w:p>
    <w:p w:rsidR="00020153" w:rsidRPr="00407B52" w:rsidRDefault="00020153" w:rsidP="00020153">
      <w:pPr>
        <w:tabs>
          <w:tab w:val="left" w:pos="1125"/>
        </w:tabs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- </w:t>
      </w: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إذا قدم المتهم طلب الإفراج المؤقت لقاضي التحقيق و رفضه، يجوز للمتهم استئناف هذا الأمر أمام عرفة الاتهام.</w:t>
      </w:r>
    </w:p>
    <w:p w:rsidR="00020153" w:rsidRPr="00407B52" w:rsidRDefault="00020153" w:rsidP="00020153">
      <w:pPr>
        <w:tabs>
          <w:tab w:val="left" w:pos="1125"/>
        </w:tabs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- </w:t>
      </w: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لغرفة الاتهام سلطة الإفراج المؤقت قبل إحالة الدعوى لمحكمة الجنايات.</w:t>
      </w:r>
    </w:p>
    <w:p w:rsidR="00020153" w:rsidRPr="00407B52" w:rsidRDefault="00020153" w:rsidP="00020153">
      <w:pPr>
        <w:tabs>
          <w:tab w:val="left" w:pos="1125"/>
        </w:tabs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-</w:t>
      </w: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لغرفة الاتهام سلطة الإفراج المؤقت بين دورات انعقاد المحكمة.</w:t>
      </w:r>
    </w:p>
    <w:p w:rsidR="00020153" w:rsidRPr="00407B52" w:rsidRDefault="00020153" w:rsidP="00020153">
      <w:pPr>
        <w:tabs>
          <w:tab w:val="left" w:pos="1125"/>
        </w:tabs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-</w:t>
      </w: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لغرفة الاتهام سلطة الإفراج المؤقت حال صدور حكم بعدم الاختصاص من إحدى المحاكم.</w:t>
      </w:r>
    </w:p>
    <w:p w:rsidR="00020153" w:rsidRPr="00407B52" w:rsidRDefault="00020153" w:rsidP="00020153">
      <w:pPr>
        <w:tabs>
          <w:tab w:val="left" w:pos="1125"/>
        </w:tabs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-</w:t>
      </w:r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لغرفة الاتهام سلطة الإفراج المؤقت في جميع الأحوال التي ترفع فيها القضية إلى أي جهة قضائية أخرى.</w:t>
      </w:r>
    </w:p>
    <w:p w:rsidR="00020153" w:rsidRPr="00407B52" w:rsidRDefault="00020153" w:rsidP="00020153">
      <w:pPr>
        <w:tabs>
          <w:tab w:val="left" w:pos="1125"/>
        </w:tabs>
        <w:bidi/>
        <w:spacing w:line="240" w:lineRule="auto"/>
        <w:ind w:left="-567" w:right="-851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-</w:t>
      </w:r>
      <w:proofErr w:type="gram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يجوز</w:t>
      </w:r>
      <w:proofErr w:type="gram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لغرفة الاتهام من تلقاء نفسها و بعد استطلاع رأي النيابة العامة أن تأمر بالإفراج المؤقت عن المتهم ( م 186 ق إ ج </w:t>
      </w:r>
      <w:proofErr w:type="spellStart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ج</w:t>
      </w:r>
      <w:proofErr w:type="spellEnd"/>
      <w:r w:rsidRPr="00407B52">
        <w:rPr>
          <w:rFonts w:ascii="Arabic Typesetting" w:hAnsi="Arabic Typesetting" w:cs="Arabic Typesetting"/>
          <w:sz w:val="44"/>
          <w:szCs w:val="44"/>
          <w:rtl/>
          <w:lang w:bidi="ar-DZ"/>
        </w:rPr>
        <w:t>).</w:t>
      </w:r>
    </w:p>
    <w:p w:rsidR="00932CA3" w:rsidRDefault="00932CA3" w:rsidP="00034D38">
      <w:pPr>
        <w:bidi/>
        <w:ind w:left="-709" w:right="-709"/>
        <w:rPr>
          <w:lang w:bidi="ar-DZ"/>
        </w:rPr>
      </w:pPr>
    </w:p>
    <w:sectPr w:rsidR="00932CA3" w:rsidSect="00932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441D"/>
    <w:multiLevelType w:val="hybridMultilevel"/>
    <w:tmpl w:val="37E00254"/>
    <w:lvl w:ilvl="0" w:tplc="134483F8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B3632"/>
    <w:multiLevelType w:val="hybridMultilevel"/>
    <w:tmpl w:val="F6220C14"/>
    <w:lvl w:ilvl="0" w:tplc="87402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B5F2A"/>
    <w:multiLevelType w:val="hybridMultilevel"/>
    <w:tmpl w:val="014642BA"/>
    <w:lvl w:ilvl="0" w:tplc="34E4945C">
      <w:numFmt w:val="bullet"/>
      <w:lvlText w:val="-"/>
      <w:lvlJc w:val="left"/>
      <w:pPr>
        <w:ind w:left="1069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B8E67D8"/>
    <w:multiLevelType w:val="hybridMultilevel"/>
    <w:tmpl w:val="B9D481C6"/>
    <w:lvl w:ilvl="0" w:tplc="3BA80D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6BE3"/>
    <w:multiLevelType w:val="hybridMultilevel"/>
    <w:tmpl w:val="26FCEF44"/>
    <w:lvl w:ilvl="0" w:tplc="D3BEAAC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190B8C"/>
    <w:multiLevelType w:val="hybridMultilevel"/>
    <w:tmpl w:val="C06A3D3A"/>
    <w:lvl w:ilvl="0" w:tplc="0EAA0860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9603F"/>
    <w:multiLevelType w:val="hybridMultilevel"/>
    <w:tmpl w:val="37ECB090"/>
    <w:lvl w:ilvl="0" w:tplc="B45A7B9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406E4"/>
    <w:multiLevelType w:val="hybridMultilevel"/>
    <w:tmpl w:val="A46403F6"/>
    <w:lvl w:ilvl="0" w:tplc="9AB47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D38"/>
    <w:rsid w:val="00020153"/>
    <w:rsid w:val="00034D38"/>
    <w:rsid w:val="00932CA3"/>
    <w:rsid w:val="00D9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3462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2022-05-17T14:36:00Z</dcterms:created>
  <dcterms:modified xsi:type="dcterms:W3CDTF">2022-05-17T14:36:00Z</dcterms:modified>
</cp:coreProperties>
</file>