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1E1" w:rsidRDefault="004501E1"/>
    <w:p w:rsidR="00B742C7" w:rsidRDefault="00B742C7" w:rsidP="00B742C7">
      <w:pPr>
        <w:jc w:val="center"/>
        <w:rPr>
          <w:rFonts w:asciiTheme="majorBidi" w:hAnsiTheme="majorBidi" w:cstheme="majorBidi"/>
          <w:b/>
          <w:bCs/>
          <w:sz w:val="32"/>
          <w:szCs w:val="32"/>
        </w:rPr>
      </w:pPr>
      <w:r w:rsidRPr="00B742C7">
        <w:rPr>
          <w:rFonts w:asciiTheme="majorBidi" w:hAnsiTheme="majorBidi" w:cstheme="majorBidi"/>
          <w:b/>
          <w:bCs/>
          <w:sz w:val="32"/>
          <w:szCs w:val="32"/>
        </w:rPr>
        <w:t>Chapitre 1 :</w:t>
      </w:r>
      <w:r>
        <w:rPr>
          <w:rFonts w:asciiTheme="majorBidi" w:hAnsiTheme="majorBidi" w:cstheme="majorBidi"/>
          <w:b/>
          <w:bCs/>
          <w:sz w:val="32"/>
          <w:szCs w:val="32"/>
        </w:rPr>
        <w:t xml:space="preserve"> Cellules sanguines et Hématopoïèse</w:t>
      </w:r>
    </w:p>
    <w:p w:rsidR="00B742C7" w:rsidRDefault="00B742C7" w:rsidP="00B742C7">
      <w:pPr>
        <w:jc w:val="center"/>
        <w:rPr>
          <w:rFonts w:asciiTheme="majorBidi" w:hAnsiTheme="majorBidi" w:cstheme="majorBidi"/>
          <w:b/>
          <w:bCs/>
          <w:sz w:val="32"/>
          <w:szCs w:val="32"/>
        </w:rPr>
      </w:pPr>
    </w:p>
    <w:p w:rsidR="00B742C7" w:rsidRDefault="00B742C7" w:rsidP="004A31F2">
      <w:pPr>
        <w:pStyle w:val="Paragraphedeliste"/>
        <w:numPr>
          <w:ilvl w:val="0"/>
          <w:numId w:val="1"/>
        </w:numPr>
        <w:ind w:left="0" w:firstLine="0"/>
        <w:rPr>
          <w:rFonts w:asciiTheme="majorBidi" w:hAnsiTheme="majorBidi" w:cstheme="majorBidi"/>
          <w:b/>
          <w:bCs/>
          <w:sz w:val="28"/>
          <w:szCs w:val="28"/>
        </w:rPr>
      </w:pPr>
      <w:r w:rsidRPr="00B742C7">
        <w:rPr>
          <w:rFonts w:asciiTheme="majorBidi" w:hAnsiTheme="majorBidi" w:cstheme="majorBidi"/>
          <w:b/>
          <w:bCs/>
          <w:sz w:val="28"/>
          <w:szCs w:val="28"/>
        </w:rPr>
        <w:t>Définition de l’hématopoïèse :</w:t>
      </w:r>
    </w:p>
    <w:p w:rsidR="00B742C7" w:rsidRPr="00B742C7" w:rsidRDefault="00B742C7" w:rsidP="00B742C7">
      <w:pPr>
        <w:rPr>
          <w:rFonts w:asciiTheme="majorBidi" w:hAnsiTheme="majorBidi" w:cstheme="majorBidi"/>
          <w:b/>
          <w:bCs/>
          <w:sz w:val="28"/>
          <w:szCs w:val="28"/>
        </w:rPr>
      </w:pPr>
      <w:r w:rsidRPr="00B742C7">
        <w:rPr>
          <w:rFonts w:asciiTheme="majorBidi" w:hAnsiTheme="majorBidi" w:cstheme="majorBidi"/>
          <w:sz w:val="24"/>
          <w:szCs w:val="24"/>
        </w:rPr>
        <w:t>C’est l’ensemble des mécanismes qui assurent le remplacement continu et régulé des</w:t>
      </w:r>
    </w:p>
    <w:p w:rsidR="00B742C7" w:rsidRPr="00B742C7" w:rsidRDefault="00B742C7" w:rsidP="00B742C7">
      <w:pPr>
        <w:rPr>
          <w:rFonts w:asciiTheme="majorBidi" w:hAnsiTheme="majorBidi" w:cstheme="majorBidi"/>
          <w:sz w:val="24"/>
          <w:szCs w:val="24"/>
        </w:rPr>
      </w:pPr>
      <w:r w:rsidRPr="00B742C7">
        <w:rPr>
          <w:rFonts w:asciiTheme="majorBidi" w:hAnsiTheme="majorBidi" w:cstheme="majorBidi"/>
          <w:sz w:val="24"/>
          <w:szCs w:val="24"/>
        </w:rPr>
        <w:t>cellules sanguines :</w:t>
      </w:r>
    </w:p>
    <w:p w:rsidR="00B742C7" w:rsidRPr="004A31F2" w:rsidRDefault="00B742C7" w:rsidP="004A31F2">
      <w:pPr>
        <w:pStyle w:val="Paragraphedeliste"/>
        <w:numPr>
          <w:ilvl w:val="0"/>
          <w:numId w:val="2"/>
        </w:numPr>
        <w:rPr>
          <w:rFonts w:asciiTheme="majorBidi" w:hAnsiTheme="majorBidi" w:cstheme="majorBidi"/>
          <w:sz w:val="24"/>
          <w:szCs w:val="24"/>
        </w:rPr>
      </w:pPr>
      <w:r w:rsidRPr="004A31F2">
        <w:rPr>
          <w:rFonts w:asciiTheme="majorBidi" w:hAnsiTheme="majorBidi" w:cstheme="majorBidi"/>
          <w:sz w:val="24"/>
          <w:szCs w:val="24"/>
        </w:rPr>
        <w:t>Les polynucléaires : neutrophiles, basophiles, éosinophiles. Leur durée de vie est de 24</w:t>
      </w:r>
    </w:p>
    <w:p w:rsidR="00B742C7" w:rsidRPr="00B742C7" w:rsidRDefault="00B742C7" w:rsidP="00B742C7">
      <w:pPr>
        <w:rPr>
          <w:rFonts w:asciiTheme="majorBidi" w:hAnsiTheme="majorBidi" w:cstheme="majorBidi"/>
          <w:sz w:val="24"/>
          <w:szCs w:val="24"/>
        </w:rPr>
      </w:pPr>
      <w:r w:rsidRPr="00B742C7">
        <w:rPr>
          <w:rFonts w:asciiTheme="majorBidi" w:hAnsiTheme="majorBidi" w:cstheme="majorBidi"/>
          <w:sz w:val="24"/>
          <w:szCs w:val="24"/>
        </w:rPr>
        <w:t xml:space="preserve">heures et le </w:t>
      </w:r>
      <w:r w:rsidR="004A31F2">
        <w:rPr>
          <w:rFonts w:asciiTheme="majorBidi" w:hAnsiTheme="majorBidi" w:cstheme="majorBidi"/>
          <w:sz w:val="24"/>
          <w:szCs w:val="24"/>
        </w:rPr>
        <w:t>nombre total circulant est de 5.</w:t>
      </w:r>
      <w:r w:rsidRPr="00B742C7">
        <w:rPr>
          <w:rFonts w:asciiTheme="majorBidi" w:hAnsiTheme="majorBidi" w:cstheme="majorBidi"/>
          <w:sz w:val="24"/>
          <w:szCs w:val="24"/>
        </w:rPr>
        <w:t xml:space="preserve">10 </w:t>
      </w:r>
      <w:r w:rsidRPr="004A31F2">
        <w:rPr>
          <w:rFonts w:asciiTheme="majorBidi" w:hAnsiTheme="majorBidi" w:cstheme="majorBidi"/>
          <w:sz w:val="24"/>
          <w:szCs w:val="24"/>
          <w:vertAlign w:val="superscript"/>
        </w:rPr>
        <w:t>10</w:t>
      </w:r>
      <w:r w:rsidRPr="00B742C7">
        <w:rPr>
          <w:rFonts w:asciiTheme="majorBidi" w:hAnsiTheme="majorBidi" w:cstheme="majorBidi"/>
          <w:sz w:val="24"/>
          <w:szCs w:val="24"/>
        </w:rPr>
        <w:t xml:space="preserve"> ; La production quotidienne est donc de</w:t>
      </w:r>
    </w:p>
    <w:p w:rsidR="00B742C7" w:rsidRPr="00B742C7" w:rsidRDefault="004A31F2" w:rsidP="00B742C7">
      <w:pPr>
        <w:rPr>
          <w:rFonts w:asciiTheme="majorBidi" w:hAnsiTheme="majorBidi" w:cstheme="majorBidi"/>
          <w:sz w:val="24"/>
          <w:szCs w:val="24"/>
        </w:rPr>
      </w:pPr>
      <w:r>
        <w:rPr>
          <w:rFonts w:asciiTheme="majorBidi" w:hAnsiTheme="majorBidi" w:cstheme="majorBidi"/>
          <w:sz w:val="24"/>
          <w:szCs w:val="24"/>
        </w:rPr>
        <w:t>5.</w:t>
      </w:r>
      <w:r w:rsidR="00B742C7" w:rsidRPr="00B742C7">
        <w:rPr>
          <w:rFonts w:asciiTheme="majorBidi" w:hAnsiTheme="majorBidi" w:cstheme="majorBidi"/>
          <w:sz w:val="24"/>
          <w:szCs w:val="24"/>
        </w:rPr>
        <w:t>10</w:t>
      </w:r>
      <w:r w:rsidR="00B742C7" w:rsidRPr="004A31F2">
        <w:rPr>
          <w:rFonts w:asciiTheme="majorBidi" w:hAnsiTheme="majorBidi" w:cstheme="majorBidi"/>
          <w:sz w:val="24"/>
          <w:szCs w:val="24"/>
          <w:vertAlign w:val="superscript"/>
        </w:rPr>
        <w:t xml:space="preserve"> 10</w:t>
      </w:r>
      <w:r w:rsidR="00B742C7" w:rsidRPr="00B742C7">
        <w:rPr>
          <w:rFonts w:asciiTheme="majorBidi" w:hAnsiTheme="majorBidi" w:cstheme="majorBidi"/>
          <w:sz w:val="24"/>
          <w:szCs w:val="24"/>
        </w:rPr>
        <w:t xml:space="preserve"> environ.</w:t>
      </w:r>
    </w:p>
    <w:p w:rsidR="00B742C7" w:rsidRPr="004A31F2" w:rsidRDefault="00B742C7" w:rsidP="004A31F2">
      <w:pPr>
        <w:pStyle w:val="Paragraphedeliste"/>
        <w:numPr>
          <w:ilvl w:val="0"/>
          <w:numId w:val="2"/>
        </w:numPr>
        <w:rPr>
          <w:rFonts w:asciiTheme="majorBidi" w:hAnsiTheme="majorBidi" w:cstheme="majorBidi"/>
          <w:sz w:val="24"/>
          <w:szCs w:val="24"/>
        </w:rPr>
      </w:pPr>
      <w:r w:rsidRPr="004A31F2">
        <w:rPr>
          <w:rFonts w:asciiTheme="majorBidi" w:hAnsiTheme="majorBidi" w:cstheme="majorBidi"/>
          <w:sz w:val="24"/>
          <w:szCs w:val="24"/>
        </w:rPr>
        <w:t>Les globules rouges : Leur durée de vie est de 120 jours et le nombre total circulant est</w:t>
      </w:r>
    </w:p>
    <w:p w:rsidR="00B742C7" w:rsidRPr="00B742C7" w:rsidRDefault="004A31F2" w:rsidP="00B742C7">
      <w:pPr>
        <w:rPr>
          <w:rFonts w:asciiTheme="majorBidi" w:hAnsiTheme="majorBidi" w:cstheme="majorBidi"/>
          <w:sz w:val="24"/>
          <w:szCs w:val="24"/>
        </w:rPr>
      </w:pPr>
      <w:r>
        <w:rPr>
          <w:rFonts w:asciiTheme="majorBidi" w:hAnsiTheme="majorBidi" w:cstheme="majorBidi"/>
          <w:sz w:val="24"/>
          <w:szCs w:val="24"/>
        </w:rPr>
        <w:t>de</w:t>
      </w:r>
      <w:r w:rsidR="00B742C7" w:rsidRPr="00B742C7">
        <w:rPr>
          <w:rFonts w:asciiTheme="majorBidi" w:hAnsiTheme="majorBidi" w:cstheme="majorBidi"/>
          <w:sz w:val="24"/>
          <w:szCs w:val="24"/>
        </w:rPr>
        <w:t>10</w:t>
      </w:r>
      <w:r w:rsidR="00B742C7" w:rsidRPr="004A31F2">
        <w:rPr>
          <w:rFonts w:asciiTheme="majorBidi" w:hAnsiTheme="majorBidi" w:cstheme="majorBidi"/>
          <w:sz w:val="24"/>
          <w:szCs w:val="24"/>
          <w:vertAlign w:val="superscript"/>
        </w:rPr>
        <w:t xml:space="preserve"> 12</w:t>
      </w:r>
      <w:r w:rsidR="00B742C7" w:rsidRPr="00B742C7">
        <w:rPr>
          <w:rFonts w:asciiTheme="majorBidi" w:hAnsiTheme="majorBidi" w:cstheme="majorBidi"/>
          <w:sz w:val="24"/>
          <w:szCs w:val="24"/>
        </w:rPr>
        <w:t xml:space="preserve"> ; La produ</w:t>
      </w:r>
      <w:r>
        <w:rPr>
          <w:rFonts w:asciiTheme="majorBidi" w:hAnsiTheme="majorBidi" w:cstheme="majorBidi"/>
          <w:sz w:val="24"/>
          <w:szCs w:val="24"/>
        </w:rPr>
        <w:t>ction quotidienne est donc de 2.</w:t>
      </w:r>
      <w:r w:rsidR="00B742C7" w:rsidRPr="00B742C7">
        <w:rPr>
          <w:rFonts w:asciiTheme="majorBidi" w:hAnsiTheme="majorBidi" w:cstheme="majorBidi"/>
          <w:sz w:val="24"/>
          <w:szCs w:val="24"/>
        </w:rPr>
        <w:t>10</w:t>
      </w:r>
      <w:r w:rsidR="00B742C7" w:rsidRPr="004A31F2">
        <w:rPr>
          <w:rFonts w:asciiTheme="majorBidi" w:hAnsiTheme="majorBidi" w:cstheme="majorBidi"/>
          <w:sz w:val="24"/>
          <w:szCs w:val="24"/>
          <w:vertAlign w:val="superscript"/>
        </w:rPr>
        <w:t xml:space="preserve"> 11</w:t>
      </w:r>
      <w:r w:rsidR="00B742C7" w:rsidRPr="00B742C7">
        <w:rPr>
          <w:rFonts w:asciiTheme="majorBidi" w:hAnsiTheme="majorBidi" w:cstheme="majorBidi"/>
          <w:sz w:val="24"/>
          <w:szCs w:val="24"/>
        </w:rPr>
        <w:t xml:space="preserve"> environ</w:t>
      </w:r>
    </w:p>
    <w:p w:rsidR="004A31F2" w:rsidRDefault="00B742C7" w:rsidP="004A31F2">
      <w:pPr>
        <w:pStyle w:val="Paragraphedeliste"/>
        <w:numPr>
          <w:ilvl w:val="0"/>
          <w:numId w:val="2"/>
        </w:numPr>
        <w:rPr>
          <w:rFonts w:asciiTheme="majorBidi" w:hAnsiTheme="majorBidi" w:cstheme="majorBidi"/>
          <w:sz w:val="24"/>
          <w:szCs w:val="24"/>
        </w:rPr>
      </w:pPr>
      <w:r w:rsidRPr="004A31F2">
        <w:rPr>
          <w:rFonts w:asciiTheme="majorBidi" w:hAnsiTheme="majorBidi" w:cstheme="majorBidi"/>
          <w:sz w:val="24"/>
          <w:szCs w:val="24"/>
        </w:rPr>
        <w:t>Les plaquettes : Leur durée de vie est de 7 jours et le nombre total circulant est de</w:t>
      </w:r>
    </w:p>
    <w:p w:rsidR="00B742C7" w:rsidRPr="004A31F2" w:rsidRDefault="00B742C7" w:rsidP="004A31F2">
      <w:pPr>
        <w:ind w:left="360"/>
        <w:rPr>
          <w:rFonts w:asciiTheme="majorBidi" w:hAnsiTheme="majorBidi" w:cstheme="majorBidi"/>
          <w:sz w:val="24"/>
          <w:szCs w:val="24"/>
        </w:rPr>
      </w:pPr>
      <w:r w:rsidRPr="004A31F2">
        <w:rPr>
          <w:rFonts w:asciiTheme="majorBidi" w:hAnsiTheme="majorBidi" w:cstheme="majorBidi"/>
          <w:sz w:val="24"/>
          <w:szCs w:val="24"/>
        </w:rPr>
        <w:t xml:space="preserve"> 1 10</w:t>
      </w:r>
      <w:r w:rsidRPr="004A31F2">
        <w:rPr>
          <w:rFonts w:asciiTheme="majorBidi" w:hAnsiTheme="majorBidi" w:cstheme="majorBidi"/>
          <w:sz w:val="24"/>
          <w:szCs w:val="24"/>
          <w:vertAlign w:val="superscript"/>
        </w:rPr>
        <w:t>12</w:t>
      </w:r>
      <w:r w:rsidRPr="004A31F2">
        <w:rPr>
          <w:rFonts w:asciiTheme="majorBidi" w:hAnsiTheme="majorBidi" w:cstheme="majorBidi"/>
          <w:sz w:val="24"/>
          <w:szCs w:val="24"/>
        </w:rPr>
        <w:t xml:space="preserve"> ; La produ</w:t>
      </w:r>
      <w:r w:rsidR="004A31F2">
        <w:rPr>
          <w:rFonts w:asciiTheme="majorBidi" w:hAnsiTheme="majorBidi" w:cstheme="majorBidi"/>
          <w:sz w:val="24"/>
          <w:szCs w:val="24"/>
        </w:rPr>
        <w:t>ction quotidienne est donc de 1.</w:t>
      </w:r>
      <w:r w:rsidRPr="004A31F2">
        <w:rPr>
          <w:rFonts w:asciiTheme="majorBidi" w:hAnsiTheme="majorBidi" w:cstheme="majorBidi"/>
          <w:sz w:val="24"/>
          <w:szCs w:val="24"/>
        </w:rPr>
        <w:t xml:space="preserve">10 </w:t>
      </w:r>
      <w:r w:rsidRPr="004A31F2">
        <w:rPr>
          <w:rFonts w:asciiTheme="majorBidi" w:hAnsiTheme="majorBidi" w:cstheme="majorBidi"/>
          <w:sz w:val="24"/>
          <w:szCs w:val="24"/>
          <w:vertAlign w:val="superscript"/>
        </w:rPr>
        <w:t>11</w:t>
      </w:r>
      <w:r w:rsidRPr="004A31F2">
        <w:rPr>
          <w:rFonts w:asciiTheme="majorBidi" w:hAnsiTheme="majorBidi" w:cstheme="majorBidi"/>
          <w:sz w:val="24"/>
          <w:szCs w:val="24"/>
        </w:rPr>
        <w:t xml:space="preserve"> environ</w:t>
      </w:r>
    </w:p>
    <w:p w:rsidR="00B742C7" w:rsidRPr="00B742C7" w:rsidRDefault="00B742C7" w:rsidP="004A31F2">
      <w:pPr>
        <w:rPr>
          <w:rFonts w:asciiTheme="majorBidi" w:hAnsiTheme="majorBidi" w:cstheme="majorBidi"/>
          <w:sz w:val="24"/>
          <w:szCs w:val="24"/>
        </w:rPr>
      </w:pPr>
      <w:r w:rsidRPr="00B742C7">
        <w:rPr>
          <w:rFonts w:asciiTheme="majorBidi" w:hAnsiTheme="majorBidi" w:cstheme="majorBidi"/>
          <w:sz w:val="24"/>
          <w:szCs w:val="24"/>
        </w:rPr>
        <w:t>Ces éléments sont hyperspécialisés et n’ont plus la capacité de se multiplier. Ils doiventêtre remplacés en permanence.</w:t>
      </w:r>
    </w:p>
    <w:p w:rsidR="004A31F2" w:rsidRDefault="00B742C7" w:rsidP="004A31F2">
      <w:pPr>
        <w:pStyle w:val="Paragraphedeliste"/>
        <w:numPr>
          <w:ilvl w:val="0"/>
          <w:numId w:val="2"/>
        </w:numPr>
        <w:rPr>
          <w:rFonts w:asciiTheme="majorBidi" w:hAnsiTheme="majorBidi" w:cstheme="majorBidi"/>
          <w:sz w:val="24"/>
          <w:szCs w:val="24"/>
        </w:rPr>
      </w:pPr>
      <w:r w:rsidRPr="004A31F2">
        <w:rPr>
          <w:rFonts w:asciiTheme="majorBidi" w:hAnsiTheme="majorBidi" w:cstheme="majorBidi"/>
          <w:sz w:val="24"/>
          <w:szCs w:val="24"/>
        </w:rPr>
        <w:t xml:space="preserve">Les monocytes et lymphocytes, qui circulent aussi dans les vaisseaux sanguins, </w:t>
      </w:r>
    </w:p>
    <w:p w:rsidR="00B742C7" w:rsidRPr="004A31F2" w:rsidRDefault="00B742C7" w:rsidP="004A31F2">
      <w:pPr>
        <w:ind w:left="360"/>
        <w:rPr>
          <w:rFonts w:asciiTheme="majorBidi" w:hAnsiTheme="majorBidi" w:cstheme="majorBidi"/>
          <w:sz w:val="24"/>
          <w:szCs w:val="24"/>
        </w:rPr>
      </w:pPr>
      <w:r w:rsidRPr="004A31F2">
        <w:rPr>
          <w:rFonts w:asciiTheme="majorBidi" w:hAnsiTheme="majorBidi" w:cstheme="majorBidi"/>
          <w:sz w:val="24"/>
          <w:szCs w:val="24"/>
        </w:rPr>
        <w:t>conserventla capacité de se multiplier dans le sang périphérique.</w:t>
      </w:r>
    </w:p>
    <w:p w:rsidR="00B742C7" w:rsidRPr="00B742C7" w:rsidRDefault="00B742C7" w:rsidP="00B742C7">
      <w:pPr>
        <w:rPr>
          <w:rFonts w:asciiTheme="majorBidi" w:hAnsiTheme="majorBidi" w:cstheme="majorBidi"/>
          <w:sz w:val="24"/>
          <w:szCs w:val="24"/>
        </w:rPr>
      </w:pPr>
      <w:r w:rsidRPr="00B742C7">
        <w:rPr>
          <w:rFonts w:asciiTheme="majorBidi" w:hAnsiTheme="majorBidi" w:cstheme="majorBidi"/>
          <w:sz w:val="24"/>
          <w:szCs w:val="24"/>
        </w:rPr>
        <w:t>Nous allons donc dans un premier temps décrire le tissu sanguin mature, puis aborder les</w:t>
      </w:r>
    </w:p>
    <w:p w:rsidR="00B742C7" w:rsidRPr="00B742C7" w:rsidRDefault="004A31F2" w:rsidP="00B742C7">
      <w:pPr>
        <w:rPr>
          <w:rFonts w:asciiTheme="majorBidi" w:hAnsiTheme="majorBidi" w:cstheme="majorBidi"/>
          <w:sz w:val="24"/>
          <w:szCs w:val="24"/>
        </w:rPr>
      </w:pPr>
      <w:r w:rsidRPr="00B742C7">
        <w:rPr>
          <w:rFonts w:asciiTheme="majorBidi" w:hAnsiTheme="majorBidi" w:cstheme="majorBidi"/>
          <w:sz w:val="24"/>
          <w:szCs w:val="24"/>
        </w:rPr>
        <w:t>Mécanismes</w:t>
      </w:r>
      <w:r w:rsidR="00B742C7" w:rsidRPr="00B742C7">
        <w:rPr>
          <w:rFonts w:asciiTheme="majorBidi" w:hAnsiTheme="majorBidi" w:cstheme="majorBidi"/>
          <w:sz w:val="24"/>
          <w:szCs w:val="24"/>
        </w:rPr>
        <w:t xml:space="preserve"> de son renouvellement (hématopoiese)</w:t>
      </w:r>
    </w:p>
    <w:p w:rsidR="00B742C7" w:rsidRPr="004A31F2" w:rsidRDefault="004A31F2" w:rsidP="004A31F2">
      <w:pPr>
        <w:pStyle w:val="Paragraphedeliste"/>
        <w:numPr>
          <w:ilvl w:val="0"/>
          <w:numId w:val="1"/>
        </w:numPr>
        <w:rPr>
          <w:rFonts w:asciiTheme="majorBidi" w:hAnsiTheme="majorBidi" w:cstheme="majorBidi"/>
          <w:b/>
          <w:bCs/>
          <w:sz w:val="24"/>
          <w:szCs w:val="24"/>
        </w:rPr>
      </w:pPr>
      <w:r w:rsidRPr="004A31F2">
        <w:rPr>
          <w:rFonts w:asciiTheme="majorBidi" w:hAnsiTheme="majorBidi" w:cstheme="majorBidi"/>
          <w:b/>
          <w:bCs/>
          <w:sz w:val="24"/>
          <w:szCs w:val="24"/>
        </w:rPr>
        <w:t>Tissu Sanguin</w:t>
      </w:r>
    </w:p>
    <w:p w:rsidR="00B742C7" w:rsidRPr="00B742C7" w:rsidRDefault="00B742C7" w:rsidP="00B742C7">
      <w:pPr>
        <w:rPr>
          <w:rFonts w:asciiTheme="majorBidi" w:hAnsiTheme="majorBidi" w:cstheme="majorBidi"/>
          <w:sz w:val="24"/>
          <w:szCs w:val="24"/>
        </w:rPr>
      </w:pPr>
      <w:r w:rsidRPr="00B742C7">
        <w:rPr>
          <w:rFonts w:asciiTheme="majorBidi" w:hAnsiTheme="majorBidi" w:cstheme="majorBidi"/>
          <w:sz w:val="24"/>
          <w:szCs w:val="24"/>
        </w:rPr>
        <w:t>Le sang est un « tissu » dit mésenchymateux formé des éléments figurés du sang et du</w:t>
      </w:r>
    </w:p>
    <w:p w:rsidR="00B742C7" w:rsidRPr="00B742C7" w:rsidRDefault="00B742C7" w:rsidP="00B742C7">
      <w:pPr>
        <w:rPr>
          <w:rFonts w:asciiTheme="majorBidi" w:hAnsiTheme="majorBidi" w:cstheme="majorBidi"/>
          <w:sz w:val="24"/>
          <w:szCs w:val="24"/>
        </w:rPr>
      </w:pPr>
      <w:r w:rsidRPr="00B742C7">
        <w:rPr>
          <w:rFonts w:asciiTheme="majorBidi" w:hAnsiTheme="majorBidi" w:cstheme="majorBidi"/>
          <w:sz w:val="24"/>
          <w:szCs w:val="24"/>
        </w:rPr>
        <w:t>plasma.</w:t>
      </w:r>
    </w:p>
    <w:p w:rsidR="00B742C7" w:rsidRPr="004A31F2" w:rsidRDefault="00B742C7" w:rsidP="004A31F2">
      <w:pPr>
        <w:pStyle w:val="Paragraphedeliste"/>
        <w:numPr>
          <w:ilvl w:val="0"/>
          <w:numId w:val="3"/>
        </w:numPr>
        <w:rPr>
          <w:rFonts w:asciiTheme="majorBidi" w:hAnsiTheme="majorBidi" w:cstheme="majorBidi"/>
          <w:sz w:val="24"/>
          <w:szCs w:val="24"/>
        </w:rPr>
      </w:pPr>
      <w:r w:rsidRPr="004A31F2">
        <w:rPr>
          <w:rFonts w:asciiTheme="majorBidi" w:hAnsiTheme="majorBidi" w:cstheme="majorBidi"/>
          <w:sz w:val="24"/>
          <w:szCs w:val="24"/>
        </w:rPr>
        <w:t>L’ensemble est liquide, contenu dans les vaisseaux sanguins.</w:t>
      </w:r>
    </w:p>
    <w:p w:rsidR="00B742C7" w:rsidRPr="004A31F2" w:rsidRDefault="00B742C7" w:rsidP="004A31F2">
      <w:pPr>
        <w:pStyle w:val="Paragraphedeliste"/>
        <w:numPr>
          <w:ilvl w:val="0"/>
          <w:numId w:val="3"/>
        </w:numPr>
        <w:rPr>
          <w:rFonts w:asciiTheme="majorBidi" w:hAnsiTheme="majorBidi" w:cstheme="majorBidi"/>
          <w:sz w:val="24"/>
          <w:szCs w:val="24"/>
        </w:rPr>
      </w:pPr>
      <w:r w:rsidRPr="004A31F2">
        <w:rPr>
          <w:rFonts w:asciiTheme="majorBidi" w:hAnsiTheme="majorBidi" w:cstheme="majorBidi"/>
          <w:sz w:val="24"/>
          <w:szCs w:val="24"/>
        </w:rPr>
        <w:t>Le volume est de 5 litres et l’hématocrite (cellules) représente 45% du volume total.</w:t>
      </w:r>
    </w:p>
    <w:p w:rsidR="00B742C7" w:rsidRPr="004A31F2" w:rsidRDefault="00B742C7" w:rsidP="004A31F2">
      <w:pPr>
        <w:pStyle w:val="Paragraphedeliste"/>
        <w:numPr>
          <w:ilvl w:val="0"/>
          <w:numId w:val="3"/>
        </w:numPr>
        <w:rPr>
          <w:rFonts w:asciiTheme="majorBidi" w:hAnsiTheme="majorBidi" w:cstheme="majorBidi"/>
          <w:sz w:val="24"/>
          <w:szCs w:val="24"/>
        </w:rPr>
      </w:pPr>
      <w:r w:rsidRPr="004A31F2">
        <w:rPr>
          <w:rFonts w:asciiTheme="majorBidi" w:hAnsiTheme="majorBidi" w:cstheme="majorBidi"/>
          <w:sz w:val="24"/>
          <w:szCs w:val="24"/>
        </w:rPr>
        <w:t xml:space="preserve">Le plasma contient </w:t>
      </w:r>
      <w:r w:rsidR="004A31F2">
        <w:rPr>
          <w:rFonts w:asciiTheme="majorBidi" w:hAnsiTheme="majorBidi" w:cstheme="majorBidi"/>
          <w:sz w:val="24"/>
          <w:szCs w:val="24"/>
        </w:rPr>
        <w:t>des protéines (albumine, globuli</w:t>
      </w:r>
      <w:r w:rsidRPr="004A31F2">
        <w:rPr>
          <w:rFonts w:asciiTheme="majorBidi" w:hAnsiTheme="majorBidi" w:cstheme="majorBidi"/>
          <w:sz w:val="24"/>
          <w:szCs w:val="24"/>
        </w:rPr>
        <w:t>nes…) lipides glucides enzymesvitamines gaz dissous eau….</w:t>
      </w:r>
    </w:p>
    <w:p w:rsidR="00B742C7" w:rsidRDefault="00B742C7" w:rsidP="004A31F2">
      <w:pPr>
        <w:pStyle w:val="Paragraphedeliste"/>
        <w:numPr>
          <w:ilvl w:val="0"/>
          <w:numId w:val="3"/>
        </w:numPr>
        <w:rPr>
          <w:rFonts w:asciiTheme="majorBidi" w:hAnsiTheme="majorBidi" w:cstheme="majorBidi"/>
          <w:sz w:val="24"/>
          <w:szCs w:val="24"/>
        </w:rPr>
      </w:pPr>
      <w:r w:rsidRPr="004A31F2">
        <w:rPr>
          <w:rFonts w:asciiTheme="majorBidi" w:hAnsiTheme="majorBidi" w:cstheme="majorBidi"/>
          <w:sz w:val="24"/>
          <w:szCs w:val="24"/>
        </w:rPr>
        <w:t>Les cellules s’étudient par frottis et coloration des cellules</w:t>
      </w:r>
    </w:p>
    <w:p w:rsidR="00A13F1D" w:rsidRDefault="00A13F1D" w:rsidP="00A13F1D">
      <w:pPr>
        <w:pStyle w:val="Paragraphedeliste"/>
        <w:rPr>
          <w:rFonts w:asciiTheme="majorBidi" w:hAnsiTheme="majorBidi" w:cstheme="majorBidi"/>
          <w:sz w:val="24"/>
          <w:szCs w:val="24"/>
        </w:rPr>
      </w:pPr>
    </w:p>
    <w:p w:rsidR="009878B4" w:rsidRDefault="009878B4" w:rsidP="009878B4">
      <w:pPr>
        <w:pStyle w:val="Paragraphedeliste"/>
        <w:rPr>
          <w:rFonts w:asciiTheme="majorBidi" w:hAnsiTheme="majorBidi" w:cstheme="majorBidi"/>
          <w:sz w:val="24"/>
          <w:szCs w:val="24"/>
        </w:rPr>
      </w:pPr>
    </w:p>
    <w:p w:rsidR="004A31F2" w:rsidRPr="00F03896" w:rsidRDefault="004A31F2" w:rsidP="009878B4">
      <w:pPr>
        <w:pStyle w:val="Paragraphedeliste"/>
        <w:numPr>
          <w:ilvl w:val="1"/>
          <w:numId w:val="1"/>
        </w:numPr>
        <w:ind w:left="0" w:firstLine="0"/>
        <w:rPr>
          <w:rFonts w:asciiTheme="majorBidi" w:hAnsiTheme="majorBidi" w:cstheme="majorBidi"/>
          <w:b/>
          <w:bCs/>
          <w:sz w:val="28"/>
          <w:szCs w:val="28"/>
        </w:rPr>
      </w:pPr>
      <w:r w:rsidRPr="00F03896">
        <w:rPr>
          <w:rFonts w:asciiTheme="majorBidi" w:hAnsiTheme="majorBidi" w:cstheme="majorBidi"/>
          <w:b/>
          <w:bCs/>
          <w:sz w:val="28"/>
          <w:szCs w:val="28"/>
        </w:rPr>
        <w:lastRenderedPageBreak/>
        <w:t xml:space="preserve">Les Cellules sanguines ; Description et </w:t>
      </w:r>
      <w:r w:rsidR="009878B4" w:rsidRPr="00F03896">
        <w:rPr>
          <w:rFonts w:asciiTheme="majorBidi" w:hAnsiTheme="majorBidi" w:cstheme="majorBidi"/>
          <w:b/>
          <w:bCs/>
          <w:sz w:val="28"/>
          <w:szCs w:val="28"/>
        </w:rPr>
        <w:t xml:space="preserve">rôle </w:t>
      </w:r>
    </w:p>
    <w:p w:rsidR="009878B4" w:rsidRDefault="009878B4" w:rsidP="009878B4">
      <w:pPr>
        <w:pStyle w:val="Paragraphedeliste"/>
        <w:ind w:left="0"/>
        <w:rPr>
          <w:rFonts w:asciiTheme="majorBidi" w:hAnsiTheme="majorBidi" w:cstheme="majorBidi"/>
          <w:b/>
          <w:bCs/>
          <w:sz w:val="24"/>
          <w:szCs w:val="24"/>
        </w:rPr>
      </w:pPr>
    </w:p>
    <w:p w:rsidR="009878B4" w:rsidRPr="00AA5ABD" w:rsidRDefault="009878B4" w:rsidP="00A13F1D">
      <w:pPr>
        <w:pStyle w:val="Paragraphedeliste"/>
        <w:numPr>
          <w:ilvl w:val="0"/>
          <w:numId w:val="2"/>
        </w:numPr>
        <w:spacing w:line="360" w:lineRule="auto"/>
        <w:jc w:val="both"/>
        <w:rPr>
          <w:rFonts w:asciiTheme="majorBidi" w:hAnsiTheme="majorBidi" w:cstheme="majorBidi"/>
          <w:b/>
          <w:bCs/>
          <w:sz w:val="24"/>
          <w:szCs w:val="24"/>
        </w:rPr>
      </w:pPr>
      <w:r w:rsidRPr="009878B4">
        <w:rPr>
          <w:rFonts w:asciiTheme="majorBidi" w:hAnsiTheme="majorBidi" w:cstheme="majorBidi"/>
          <w:b/>
          <w:bCs/>
          <w:sz w:val="24"/>
          <w:szCs w:val="24"/>
        </w:rPr>
        <w:t>Les globules rouges</w:t>
      </w:r>
      <w:r w:rsidRPr="009878B4">
        <w:rPr>
          <w:rFonts w:asciiTheme="majorBidi" w:hAnsiTheme="majorBidi" w:cstheme="majorBidi"/>
          <w:sz w:val="24"/>
          <w:szCs w:val="24"/>
        </w:rPr>
        <w:t xml:space="preserve">5 millions/ mm3 de sang ; ils sont rouges en raison de leur fixation </w:t>
      </w:r>
      <w:r w:rsidRPr="00A13F1D">
        <w:rPr>
          <w:rFonts w:asciiTheme="majorBidi" w:hAnsiTheme="majorBidi" w:cstheme="majorBidi"/>
          <w:sz w:val="24"/>
          <w:szCs w:val="24"/>
        </w:rPr>
        <w:t>aux molécules d’O2 ; Ils sont déformables ; ils sont anuclées et ne peuvent se multiplier dans le sang   périphérique ; ils sont en forme de lentille biconcave et leur diamètre est de 8  micromètres ; leur épaisseur de 2 micromètres ; ils transportent l’oxygène qui se fixe sur  l’hémoglobine contenue dans la cellule, vers les tissus ; ils transportent également le CO2</w:t>
      </w:r>
      <w:r w:rsidR="00AA5ABD">
        <w:rPr>
          <w:rFonts w:asciiTheme="majorBidi" w:hAnsiTheme="majorBidi" w:cstheme="majorBidi"/>
          <w:sz w:val="24"/>
          <w:szCs w:val="24"/>
        </w:rPr>
        <w:t xml:space="preserve"> (Fig1)</w:t>
      </w:r>
      <w:r w:rsidR="005F0298" w:rsidRPr="00A13F1D">
        <w:rPr>
          <w:rFonts w:asciiTheme="majorBidi" w:hAnsiTheme="majorBidi" w:cstheme="majorBidi"/>
          <w:sz w:val="24"/>
          <w:szCs w:val="24"/>
        </w:rPr>
        <w:t>.</w:t>
      </w:r>
    </w:p>
    <w:p w:rsidR="00AA5ABD" w:rsidRDefault="00AA5ABD" w:rsidP="00AA5ABD">
      <w:pPr>
        <w:spacing w:line="360" w:lineRule="auto"/>
        <w:jc w:val="both"/>
        <w:rPr>
          <w:rFonts w:asciiTheme="majorBidi" w:hAnsiTheme="majorBidi" w:cstheme="majorBidi"/>
          <w:b/>
          <w:bCs/>
          <w:sz w:val="24"/>
          <w:szCs w:val="24"/>
        </w:rPr>
      </w:pPr>
    </w:p>
    <w:p w:rsidR="00AA5ABD" w:rsidRDefault="00AA5ABD" w:rsidP="00AA5ABD">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1960640" cy="1754372"/>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617" cy="1754352"/>
                    </a:xfrm>
                    <a:prstGeom prst="rect">
                      <a:avLst/>
                    </a:prstGeom>
                    <a:noFill/>
                    <a:ln>
                      <a:noFill/>
                    </a:ln>
                  </pic:spPr>
                </pic:pic>
              </a:graphicData>
            </a:graphic>
          </wp:inline>
        </w:drawing>
      </w:r>
    </w:p>
    <w:p w:rsidR="00AA5ABD" w:rsidRPr="00AA5ABD" w:rsidRDefault="00AA5ABD" w:rsidP="00AA5AB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Figure 1 : Forme d’un globule rouge</w:t>
      </w:r>
    </w:p>
    <w:p w:rsidR="005F0298" w:rsidRPr="005F0298" w:rsidRDefault="005F0298" w:rsidP="005F0298">
      <w:pPr>
        <w:pStyle w:val="Paragraphedeliste"/>
        <w:spacing w:line="360" w:lineRule="auto"/>
        <w:ind w:left="502"/>
        <w:jc w:val="both"/>
        <w:rPr>
          <w:rFonts w:asciiTheme="majorBidi" w:hAnsiTheme="majorBidi" w:cstheme="majorBidi"/>
          <w:sz w:val="24"/>
          <w:szCs w:val="24"/>
        </w:rPr>
      </w:pPr>
    </w:p>
    <w:p w:rsidR="009878B4" w:rsidRPr="009878B4" w:rsidRDefault="009878B4" w:rsidP="009878B4">
      <w:pPr>
        <w:pStyle w:val="Paragraphedeliste"/>
        <w:numPr>
          <w:ilvl w:val="0"/>
          <w:numId w:val="2"/>
        </w:numPr>
        <w:rPr>
          <w:rFonts w:asciiTheme="majorBidi" w:hAnsiTheme="majorBidi" w:cstheme="majorBidi"/>
          <w:b/>
          <w:bCs/>
          <w:sz w:val="24"/>
          <w:szCs w:val="24"/>
        </w:rPr>
      </w:pPr>
      <w:r w:rsidRPr="009878B4">
        <w:rPr>
          <w:rFonts w:asciiTheme="majorBidi" w:hAnsiTheme="majorBidi" w:cstheme="majorBidi"/>
          <w:b/>
          <w:bCs/>
          <w:sz w:val="24"/>
          <w:szCs w:val="24"/>
        </w:rPr>
        <w:t>Les globules blancs</w:t>
      </w:r>
    </w:p>
    <w:p w:rsidR="009878B4" w:rsidRPr="009878B4" w:rsidRDefault="009878B4" w:rsidP="009878B4">
      <w:pPr>
        <w:pStyle w:val="Paragraphedeliste"/>
        <w:spacing w:line="360" w:lineRule="auto"/>
        <w:rPr>
          <w:rFonts w:asciiTheme="majorBidi" w:hAnsiTheme="majorBidi" w:cstheme="majorBidi"/>
          <w:sz w:val="24"/>
          <w:szCs w:val="24"/>
        </w:rPr>
      </w:pPr>
      <w:r w:rsidRPr="009878B4">
        <w:rPr>
          <w:rFonts w:asciiTheme="majorBidi" w:hAnsiTheme="majorBidi" w:cstheme="majorBidi"/>
          <w:sz w:val="24"/>
          <w:szCs w:val="24"/>
        </w:rPr>
        <w:t>Sont au nombre de 4 à 10000/ mm3</w:t>
      </w:r>
    </w:p>
    <w:p w:rsidR="009878B4" w:rsidRPr="005F0298" w:rsidRDefault="009878B4" w:rsidP="005F0298">
      <w:pPr>
        <w:pStyle w:val="Paragraphedeliste"/>
        <w:spacing w:line="360" w:lineRule="auto"/>
        <w:rPr>
          <w:rFonts w:asciiTheme="majorBidi" w:hAnsiTheme="majorBidi" w:cstheme="majorBidi"/>
          <w:sz w:val="24"/>
          <w:szCs w:val="24"/>
        </w:rPr>
      </w:pPr>
      <w:r w:rsidRPr="009878B4">
        <w:rPr>
          <w:rFonts w:asciiTheme="majorBidi" w:hAnsiTheme="majorBidi" w:cstheme="majorBidi"/>
          <w:sz w:val="24"/>
          <w:szCs w:val="24"/>
        </w:rPr>
        <w:t>Sont de plusieurs types selon leur spécialisation mais participent</w:t>
      </w:r>
      <w:r w:rsidRPr="005F0298">
        <w:rPr>
          <w:rFonts w:asciiTheme="majorBidi" w:hAnsiTheme="majorBidi" w:cstheme="majorBidi"/>
          <w:sz w:val="24"/>
          <w:szCs w:val="24"/>
        </w:rPr>
        <w:t xml:space="preserve"> tous à la défense de l’organisme contre les agents pathogènes:</w:t>
      </w:r>
    </w:p>
    <w:p w:rsidR="005F0298" w:rsidRPr="009878B4" w:rsidRDefault="005F0298" w:rsidP="009878B4">
      <w:pPr>
        <w:pStyle w:val="Paragraphedeliste"/>
        <w:spacing w:line="360" w:lineRule="auto"/>
        <w:rPr>
          <w:rFonts w:asciiTheme="majorBidi" w:hAnsiTheme="majorBidi" w:cstheme="majorBidi"/>
          <w:sz w:val="24"/>
          <w:szCs w:val="24"/>
        </w:rPr>
      </w:pPr>
    </w:p>
    <w:p w:rsidR="009878B4" w:rsidRPr="009878B4" w:rsidRDefault="009878B4" w:rsidP="009878B4">
      <w:pPr>
        <w:pStyle w:val="Paragraphedeliste"/>
        <w:numPr>
          <w:ilvl w:val="0"/>
          <w:numId w:val="4"/>
        </w:numPr>
        <w:spacing w:line="360" w:lineRule="auto"/>
        <w:rPr>
          <w:rFonts w:asciiTheme="majorBidi" w:hAnsiTheme="majorBidi" w:cstheme="majorBidi"/>
          <w:sz w:val="24"/>
          <w:szCs w:val="24"/>
        </w:rPr>
      </w:pPr>
      <w:r w:rsidRPr="009878B4">
        <w:rPr>
          <w:rFonts w:asciiTheme="majorBidi" w:hAnsiTheme="majorBidi" w:cstheme="majorBidi"/>
          <w:b/>
          <w:bCs/>
          <w:sz w:val="24"/>
          <w:szCs w:val="24"/>
        </w:rPr>
        <w:t xml:space="preserve">les polynucléaires : </w:t>
      </w:r>
      <w:r w:rsidRPr="009878B4">
        <w:rPr>
          <w:rFonts w:asciiTheme="majorBidi" w:hAnsiTheme="majorBidi" w:cstheme="majorBidi"/>
          <w:sz w:val="24"/>
          <w:szCs w:val="24"/>
        </w:rPr>
        <w:t>agissent pour la lutte antibactéri</w:t>
      </w:r>
      <w:r>
        <w:rPr>
          <w:rFonts w:asciiTheme="majorBidi" w:hAnsiTheme="majorBidi" w:cstheme="majorBidi"/>
          <w:sz w:val="24"/>
          <w:szCs w:val="24"/>
        </w:rPr>
        <w:t>enne en passant par « diapédèse</w:t>
      </w:r>
      <w:r w:rsidRPr="009878B4">
        <w:rPr>
          <w:rFonts w:asciiTheme="majorBidi" w:hAnsiTheme="majorBidi" w:cstheme="majorBidi"/>
          <w:sz w:val="24"/>
          <w:szCs w:val="24"/>
        </w:rPr>
        <w:t>»</w:t>
      </w:r>
    </w:p>
    <w:p w:rsidR="009878B4" w:rsidRPr="009878B4" w:rsidRDefault="009878B4" w:rsidP="009878B4">
      <w:pPr>
        <w:pStyle w:val="Paragraphedeliste"/>
        <w:spacing w:line="360" w:lineRule="auto"/>
        <w:rPr>
          <w:rFonts w:asciiTheme="majorBidi" w:hAnsiTheme="majorBidi" w:cstheme="majorBidi"/>
          <w:sz w:val="24"/>
          <w:szCs w:val="24"/>
        </w:rPr>
      </w:pPr>
      <w:r w:rsidRPr="009878B4">
        <w:rPr>
          <w:rFonts w:asciiTheme="majorBidi" w:hAnsiTheme="majorBidi" w:cstheme="majorBidi"/>
          <w:sz w:val="24"/>
          <w:szCs w:val="24"/>
        </w:rPr>
        <w:t>du sang au tissu lésé, entre les cellules endothéliales grâce à l’action de cytokines. Ils« phagocytent » les bactéries ; leur demi vie est courte ; ils ne peuvent plus se</w:t>
      </w:r>
    </w:p>
    <w:p w:rsidR="009878B4" w:rsidRPr="009878B4" w:rsidRDefault="009878B4" w:rsidP="009878B4">
      <w:pPr>
        <w:pStyle w:val="Paragraphedeliste"/>
        <w:spacing w:line="360" w:lineRule="auto"/>
        <w:rPr>
          <w:rFonts w:asciiTheme="majorBidi" w:hAnsiTheme="majorBidi" w:cstheme="majorBidi"/>
          <w:sz w:val="24"/>
          <w:szCs w:val="24"/>
        </w:rPr>
      </w:pPr>
      <w:r w:rsidRPr="009878B4">
        <w:rPr>
          <w:rFonts w:asciiTheme="majorBidi" w:hAnsiTheme="majorBidi" w:cstheme="majorBidi"/>
          <w:sz w:val="24"/>
          <w:szCs w:val="24"/>
        </w:rPr>
        <w:t>multiplier dans le sang.</w:t>
      </w:r>
    </w:p>
    <w:p w:rsidR="009878B4" w:rsidRPr="00A13F1D" w:rsidRDefault="009878B4" w:rsidP="00A13F1D">
      <w:pPr>
        <w:pStyle w:val="Paragraphedeliste"/>
        <w:numPr>
          <w:ilvl w:val="0"/>
          <w:numId w:val="5"/>
        </w:numPr>
        <w:spacing w:line="360" w:lineRule="auto"/>
        <w:ind w:left="709"/>
        <w:jc w:val="both"/>
        <w:rPr>
          <w:rFonts w:asciiTheme="majorBidi" w:hAnsiTheme="majorBidi" w:cstheme="majorBidi"/>
          <w:sz w:val="24"/>
          <w:szCs w:val="24"/>
        </w:rPr>
      </w:pPr>
      <w:r w:rsidRPr="005F0298">
        <w:rPr>
          <w:rFonts w:asciiTheme="majorBidi" w:hAnsiTheme="majorBidi" w:cstheme="majorBidi"/>
          <w:i/>
          <w:iCs/>
          <w:sz w:val="24"/>
          <w:szCs w:val="24"/>
          <w:u w:val="single"/>
        </w:rPr>
        <w:t>Les polynucléaires neutrophiles</w:t>
      </w:r>
      <w:r w:rsidRPr="009878B4">
        <w:rPr>
          <w:rFonts w:asciiTheme="majorBidi" w:hAnsiTheme="majorBidi" w:cstheme="majorBidi"/>
          <w:sz w:val="24"/>
          <w:szCs w:val="24"/>
        </w:rPr>
        <w:t xml:space="preserve"> représentent le plus fort</w:t>
      </w:r>
      <w:r w:rsidRPr="00A13F1D">
        <w:rPr>
          <w:rFonts w:asciiTheme="majorBidi" w:hAnsiTheme="majorBidi" w:cstheme="majorBidi"/>
          <w:sz w:val="24"/>
          <w:szCs w:val="24"/>
        </w:rPr>
        <w:t xml:space="preserve">contingent de globules blancs ; ils font 12 micromètres de diamètre et possèdent un noyau plurilobé ; leur demi vie est de 24 heures </w:t>
      </w:r>
      <w:r w:rsidR="008D4065" w:rsidRPr="00A13F1D">
        <w:rPr>
          <w:rFonts w:asciiTheme="majorBidi" w:hAnsiTheme="majorBidi" w:cstheme="majorBidi"/>
          <w:sz w:val="24"/>
          <w:szCs w:val="24"/>
        </w:rPr>
        <w:t xml:space="preserve">car </w:t>
      </w:r>
      <w:r w:rsidRPr="00A13F1D">
        <w:rPr>
          <w:rFonts w:asciiTheme="majorBidi" w:hAnsiTheme="majorBidi" w:cstheme="majorBidi"/>
          <w:sz w:val="24"/>
          <w:szCs w:val="24"/>
        </w:rPr>
        <w:t>ces cellules sont incapables de renouveler les lysosomes utilisésdansladigestion des microbes et meurent après en avoir phagocyté quelques-uns.</w:t>
      </w:r>
    </w:p>
    <w:p w:rsidR="00AA5ABD" w:rsidRDefault="00AA5ABD" w:rsidP="00A13F1D">
      <w:pPr>
        <w:pStyle w:val="Paragraphedeliste"/>
        <w:spacing w:line="360" w:lineRule="auto"/>
        <w:ind w:left="1080"/>
        <w:jc w:val="both"/>
        <w:rPr>
          <w:rFonts w:asciiTheme="majorBidi" w:hAnsiTheme="majorBidi" w:cstheme="majorBidi"/>
          <w:b/>
          <w:bCs/>
          <w:sz w:val="24"/>
          <w:szCs w:val="24"/>
        </w:rPr>
      </w:pPr>
    </w:p>
    <w:p w:rsidR="00AA5ABD" w:rsidRDefault="00AA5ABD" w:rsidP="00A13F1D">
      <w:pPr>
        <w:pStyle w:val="Paragraphedeliste"/>
        <w:spacing w:line="360" w:lineRule="auto"/>
        <w:ind w:left="1080"/>
        <w:jc w:val="both"/>
        <w:rPr>
          <w:rFonts w:asciiTheme="majorBidi" w:hAnsiTheme="majorBidi" w:cstheme="majorBidi"/>
          <w:b/>
          <w:bCs/>
          <w:sz w:val="24"/>
          <w:szCs w:val="24"/>
        </w:rPr>
      </w:pPr>
    </w:p>
    <w:p w:rsidR="00AA5ABD" w:rsidRPr="00AA5ABD" w:rsidRDefault="00AA5ABD" w:rsidP="00AA5ABD">
      <w:pPr>
        <w:pStyle w:val="Paragraphedeliste"/>
        <w:spacing w:line="360" w:lineRule="auto"/>
        <w:ind w:left="1080"/>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1924301" cy="17224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350" cy="1722518"/>
                    </a:xfrm>
                    <a:prstGeom prst="rect">
                      <a:avLst/>
                    </a:prstGeom>
                    <a:noFill/>
                    <a:ln>
                      <a:noFill/>
                    </a:ln>
                  </pic:spPr>
                </pic:pic>
              </a:graphicData>
            </a:graphic>
          </wp:inline>
        </w:drawing>
      </w:r>
    </w:p>
    <w:p w:rsidR="008D4065" w:rsidRDefault="00AA5ABD" w:rsidP="00A13F1D">
      <w:pPr>
        <w:pStyle w:val="Paragraphedeliste"/>
        <w:spacing w:line="360" w:lineRule="auto"/>
        <w:ind w:left="1080"/>
        <w:jc w:val="both"/>
        <w:rPr>
          <w:rFonts w:asciiTheme="majorBidi" w:hAnsiTheme="majorBidi" w:cstheme="majorBidi"/>
          <w:b/>
          <w:bCs/>
          <w:sz w:val="24"/>
          <w:szCs w:val="24"/>
        </w:rPr>
      </w:pPr>
      <w:r w:rsidRPr="00AA5ABD">
        <w:rPr>
          <w:rFonts w:asciiTheme="majorBidi" w:hAnsiTheme="majorBidi" w:cstheme="majorBidi"/>
          <w:b/>
          <w:bCs/>
          <w:sz w:val="24"/>
          <w:szCs w:val="24"/>
        </w:rPr>
        <w:t>Figure 2 : Neutrophile</w:t>
      </w:r>
    </w:p>
    <w:p w:rsidR="00AA5ABD" w:rsidRPr="00AA5ABD" w:rsidRDefault="00AA5ABD" w:rsidP="00A13F1D">
      <w:pPr>
        <w:pStyle w:val="Paragraphedeliste"/>
        <w:spacing w:line="360" w:lineRule="auto"/>
        <w:ind w:left="1080"/>
        <w:jc w:val="both"/>
        <w:rPr>
          <w:rFonts w:asciiTheme="majorBidi" w:hAnsiTheme="majorBidi" w:cstheme="majorBidi"/>
          <w:b/>
          <w:bCs/>
          <w:sz w:val="24"/>
          <w:szCs w:val="24"/>
        </w:rPr>
      </w:pPr>
    </w:p>
    <w:p w:rsidR="009878B4" w:rsidRPr="00AA5ABD" w:rsidRDefault="009878B4" w:rsidP="00AA5ABD">
      <w:pPr>
        <w:pStyle w:val="Paragraphedeliste"/>
        <w:spacing w:line="360" w:lineRule="auto"/>
        <w:jc w:val="both"/>
        <w:rPr>
          <w:rFonts w:asciiTheme="majorBidi" w:hAnsiTheme="majorBidi" w:cstheme="majorBidi"/>
          <w:sz w:val="24"/>
          <w:szCs w:val="24"/>
        </w:rPr>
      </w:pPr>
      <w:r w:rsidRPr="009878B4">
        <w:rPr>
          <w:rFonts w:asciiTheme="majorBidi" w:hAnsiTheme="majorBidi" w:cstheme="majorBidi"/>
          <w:i/>
          <w:iCs/>
          <w:sz w:val="24"/>
          <w:szCs w:val="24"/>
        </w:rPr>
        <w:t xml:space="preserve">- </w:t>
      </w:r>
      <w:r w:rsidRPr="005F0298">
        <w:rPr>
          <w:rFonts w:asciiTheme="majorBidi" w:hAnsiTheme="majorBidi" w:cstheme="majorBidi"/>
          <w:i/>
          <w:iCs/>
          <w:sz w:val="24"/>
          <w:szCs w:val="24"/>
          <w:u w:val="single"/>
        </w:rPr>
        <w:t>Les polynucléaires éosinophiles</w:t>
      </w:r>
      <w:r w:rsidRPr="009878B4">
        <w:rPr>
          <w:rFonts w:asciiTheme="majorBidi" w:hAnsiTheme="majorBidi" w:cstheme="majorBidi"/>
          <w:sz w:val="24"/>
          <w:szCs w:val="24"/>
        </w:rPr>
        <w:t xml:space="preserve"> ; 10 à 14 micromètres ;</w:t>
      </w:r>
      <w:r w:rsidRPr="00A13F1D">
        <w:rPr>
          <w:rFonts w:asciiTheme="majorBidi" w:hAnsiTheme="majorBidi" w:cstheme="majorBidi"/>
          <w:sz w:val="24"/>
          <w:szCs w:val="24"/>
        </w:rPr>
        <w:t xml:space="preserve"> noyau bilobé ; volumineuses granulations du cytoplasme ; ilsdétruisent les parasites ; leur activité de bactéricidie et phagocytose </w:t>
      </w:r>
      <w:r w:rsidRPr="00AA5ABD">
        <w:rPr>
          <w:rFonts w:asciiTheme="majorBidi" w:hAnsiTheme="majorBidi" w:cstheme="majorBidi"/>
          <w:sz w:val="24"/>
          <w:szCs w:val="24"/>
        </w:rPr>
        <w:t>est faible.</w:t>
      </w:r>
    </w:p>
    <w:p w:rsidR="00AA5ABD" w:rsidRDefault="00AA5ABD" w:rsidP="008D4065">
      <w:pPr>
        <w:pStyle w:val="Paragraphedeliste"/>
        <w:rPr>
          <w:rFonts w:asciiTheme="majorBidi" w:hAnsiTheme="majorBidi" w:cstheme="majorBidi"/>
          <w:b/>
          <w:bCs/>
          <w:sz w:val="24"/>
          <w:szCs w:val="24"/>
        </w:rPr>
      </w:pPr>
    </w:p>
    <w:p w:rsidR="00AA5ABD" w:rsidRDefault="00AA5ABD" w:rsidP="008D4065">
      <w:pPr>
        <w:pStyle w:val="Paragraphedeliste"/>
        <w:rPr>
          <w:rFonts w:asciiTheme="majorBidi" w:hAnsiTheme="majorBidi" w:cstheme="majorBidi"/>
          <w:b/>
          <w:bCs/>
          <w:sz w:val="24"/>
          <w:szCs w:val="24"/>
        </w:rPr>
      </w:pPr>
    </w:p>
    <w:p w:rsidR="00AA5ABD" w:rsidRPr="00AA5ABD" w:rsidRDefault="00AA5ABD" w:rsidP="00AA5ABD">
      <w:pPr>
        <w:pStyle w:val="Paragraphedeliste"/>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1818168" cy="1669312"/>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578" cy="1672443"/>
                    </a:xfrm>
                    <a:prstGeom prst="rect">
                      <a:avLst/>
                    </a:prstGeom>
                    <a:noFill/>
                    <a:ln>
                      <a:noFill/>
                    </a:ln>
                  </pic:spPr>
                </pic:pic>
              </a:graphicData>
            </a:graphic>
          </wp:inline>
        </w:drawing>
      </w:r>
    </w:p>
    <w:p w:rsidR="00B3000D" w:rsidRDefault="00AA5ABD" w:rsidP="008D4065">
      <w:pPr>
        <w:pStyle w:val="Paragraphedeliste"/>
        <w:rPr>
          <w:rFonts w:asciiTheme="majorBidi" w:hAnsiTheme="majorBidi" w:cstheme="majorBidi"/>
          <w:b/>
          <w:bCs/>
          <w:sz w:val="24"/>
          <w:szCs w:val="24"/>
        </w:rPr>
      </w:pPr>
      <w:r w:rsidRPr="00AA5ABD">
        <w:rPr>
          <w:rFonts w:asciiTheme="majorBidi" w:hAnsiTheme="majorBidi" w:cstheme="majorBidi"/>
          <w:b/>
          <w:bCs/>
          <w:sz w:val="24"/>
          <w:szCs w:val="24"/>
        </w:rPr>
        <w:t>Figure 3 :</w:t>
      </w:r>
      <w:r>
        <w:rPr>
          <w:rFonts w:asciiTheme="majorBidi" w:hAnsiTheme="majorBidi" w:cstheme="majorBidi"/>
          <w:b/>
          <w:bCs/>
          <w:sz w:val="24"/>
          <w:szCs w:val="24"/>
        </w:rPr>
        <w:t xml:space="preserve"> Eosinophile</w:t>
      </w:r>
    </w:p>
    <w:p w:rsidR="00AA5ABD" w:rsidRDefault="00AA5ABD" w:rsidP="008D4065">
      <w:pPr>
        <w:pStyle w:val="Paragraphedeliste"/>
        <w:rPr>
          <w:rFonts w:asciiTheme="majorBidi" w:hAnsiTheme="majorBidi" w:cstheme="majorBidi"/>
          <w:b/>
          <w:bCs/>
          <w:sz w:val="24"/>
          <w:szCs w:val="24"/>
        </w:rPr>
      </w:pPr>
    </w:p>
    <w:p w:rsidR="00AA5ABD" w:rsidRPr="00AA5ABD" w:rsidRDefault="00AA5ABD" w:rsidP="008D4065">
      <w:pPr>
        <w:pStyle w:val="Paragraphedeliste"/>
        <w:rPr>
          <w:rFonts w:asciiTheme="majorBidi" w:hAnsiTheme="majorBidi" w:cstheme="majorBidi"/>
          <w:b/>
          <w:bCs/>
          <w:sz w:val="24"/>
          <w:szCs w:val="24"/>
        </w:rPr>
      </w:pPr>
    </w:p>
    <w:p w:rsidR="009878B4" w:rsidRDefault="009878B4" w:rsidP="00AA5ABD">
      <w:pPr>
        <w:pStyle w:val="Paragraphedeliste"/>
        <w:spacing w:line="360" w:lineRule="auto"/>
        <w:jc w:val="both"/>
        <w:rPr>
          <w:rFonts w:asciiTheme="majorBidi" w:hAnsiTheme="majorBidi" w:cstheme="majorBidi"/>
          <w:sz w:val="24"/>
          <w:szCs w:val="24"/>
        </w:rPr>
      </w:pPr>
      <w:r w:rsidRPr="009878B4">
        <w:rPr>
          <w:rFonts w:asciiTheme="majorBidi" w:hAnsiTheme="majorBidi" w:cstheme="majorBidi"/>
          <w:sz w:val="24"/>
          <w:szCs w:val="24"/>
        </w:rPr>
        <w:t xml:space="preserve">- </w:t>
      </w:r>
      <w:r w:rsidRPr="005F0298">
        <w:rPr>
          <w:rFonts w:asciiTheme="majorBidi" w:hAnsiTheme="majorBidi" w:cstheme="majorBidi"/>
          <w:i/>
          <w:iCs/>
          <w:sz w:val="24"/>
          <w:szCs w:val="24"/>
          <w:u w:val="single"/>
        </w:rPr>
        <w:t>Les polynucléaires basophiles</w:t>
      </w:r>
      <w:r w:rsidRPr="009878B4">
        <w:rPr>
          <w:rFonts w:asciiTheme="majorBidi" w:hAnsiTheme="majorBidi" w:cstheme="majorBidi"/>
          <w:i/>
          <w:iCs/>
          <w:sz w:val="24"/>
          <w:szCs w:val="24"/>
        </w:rPr>
        <w:t xml:space="preserve"> :</w:t>
      </w:r>
      <w:r w:rsidRPr="009878B4">
        <w:rPr>
          <w:rFonts w:asciiTheme="majorBidi" w:hAnsiTheme="majorBidi" w:cstheme="majorBidi"/>
          <w:sz w:val="24"/>
          <w:szCs w:val="24"/>
        </w:rPr>
        <w:t xml:space="preserve"> font 10 à 14 micromètres ; </w:t>
      </w:r>
      <w:r w:rsidRPr="00AA5ABD">
        <w:rPr>
          <w:rFonts w:asciiTheme="majorBidi" w:hAnsiTheme="majorBidi" w:cstheme="majorBidi"/>
          <w:sz w:val="24"/>
          <w:szCs w:val="24"/>
        </w:rPr>
        <w:t>leur noyau bilobé est masqué par de volumineuses granulations ; leur membrane possède des récepteurs aux igE spécifiques d’unallergène ; ainsi, lors d’un contact avec l’allergène, les Ig E se mettent en ponts et provoque la libération des granules, d’ou les manifestations allergiques</w:t>
      </w:r>
      <w:r w:rsidR="00B3000D" w:rsidRPr="00AA5ABD">
        <w:rPr>
          <w:rFonts w:asciiTheme="majorBidi" w:hAnsiTheme="majorBidi" w:cstheme="majorBidi"/>
          <w:sz w:val="24"/>
          <w:szCs w:val="24"/>
        </w:rPr>
        <w:t>.</w:t>
      </w:r>
    </w:p>
    <w:p w:rsidR="00AA5ABD" w:rsidRDefault="00AA5ABD" w:rsidP="00AA5ABD">
      <w:pPr>
        <w:pStyle w:val="Paragraphedeliste"/>
        <w:spacing w:line="360" w:lineRule="auto"/>
        <w:jc w:val="both"/>
        <w:rPr>
          <w:rFonts w:asciiTheme="majorBidi" w:hAnsiTheme="majorBidi" w:cstheme="majorBidi"/>
          <w:sz w:val="24"/>
          <w:szCs w:val="24"/>
        </w:rPr>
      </w:pPr>
    </w:p>
    <w:p w:rsidR="00AA5ABD" w:rsidRDefault="00AA5ABD" w:rsidP="00AA5ABD">
      <w:pPr>
        <w:pStyle w:val="Paragraphedeliste"/>
        <w:spacing w:line="360" w:lineRule="auto"/>
        <w:jc w:val="both"/>
        <w:rPr>
          <w:rFonts w:asciiTheme="majorBidi" w:hAnsiTheme="majorBidi" w:cstheme="majorBidi"/>
          <w:sz w:val="24"/>
          <w:szCs w:val="24"/>
        </w:rPr>
      </w:pPr>
    </w:p>
    <w:p w:rsidR="00AA5ABD" w:rsidRDefault="00AA5ABD" w:rsidP="00AA5ABD">
      <w:pPr>
        <w:pStyle w:val="Paragraphedeliste"/>
        <w:spacing w:line="360" w:lineRule="auto"/>
        <w:jc w:val="both"/>
        <w:rPr>
          <w:rFonts w:asciiTheme="majorBidi" w:hAnsiTheme="majorBidi" w:cstheme="majorBidi"/>
          <w:sz w:val="24"/>
          <w:szCs w:val="24"/>
        </w:rPr>
      </w:pPr>
    </w:p>
    <w:p w:rsidR="00AA5ABD" w:rsidRDefault="00AA5ABD" w:rsidP="00AA5ABD">
      <w:pPr>
        <w:pStyle w:val="Paragraphedeliste"/>
        <w:spacing w:line="360" w:lineRule="auto"/>
        <w:jc w:val="both"/>
        <w:rPr>
          <w:rFonts w:asciiTheme="majorBidi" w:hAnsiTheme="majorBidi" w:cstheme="majorBidi"/>
          <w:sz w:val="24"/>
          <w:szCs w:val="24"/>
        </w:rPr>
      </w:pPr>
    </w:p>
    <w:p w:rsidR="00AA5ABD" w:rsidRPr="00AA5ABD" w:rsidRDefault="00AA5ABD" w:rsidP="00AA5ABD">
      <w:pPr>
        <w:pStyle w:val="Paragraphedeliste"/>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2093322" cy="1722474"/>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3314" cy="1722468"/>
                    </a:xfrm>
                    <a:prstGeom prst="rect">
                      <a:avLst/>
                    </a:prstGeom>
                    <a:noFill/>
                    <a:ln>
                      <a:noFill/>
                    </a:ln>
                  </pic:spPr>
                </pic:pic>
              </a:graphicData>
            </a:graphic>
          </wp:inline>
        </w:drawing>
      </w:r>
    </w:p>
    <w:p w:rsidR="00B3000D" w:rsidRDefault="00AA5ABD" w:rsidP="00AA5ABD">
      <w:pPr>
        <w:pStyle w:val="Paragraphedeliste"/>
        <w:spacing w:line="360" w:lineRule="auto"/>
        <w:jc w:val="center"/>
        <w:rPr>
          <w:rFonts w:asciiTheme="majorBidi" w:hAnsiTheme="majorBidi" w:cstheme="majorBidi"/>
          <w:b/>
          <w:bCs/>
          <w:sz w:val="24"/>
          <w:szCs w:val="24"/>
        </w:rPr>
      </w:pPr>
      <w:r w:rsidRPr="00AA5ABD">
        <w:rPr>
          <w:rFonts w:asciiTheme="majorBidi" w:hAnsiTheme="majorBidi" w:cstheme="majorBidi"/>
          <w:b/>
          <w:bCs/>
          <w:sz w:val="24"/>
          <w:szCs w:val="24"/>
        </w:rPr>
        <w:t>Figure 4 : Basophiles</w:t>
      </w:r>
    </w:p>
    <w:p w:rsidR="00AA5ABD" w:rsidRPr="00AA5ABD" w:rsidRDefault="00AA5ABD" w:rsidP="00AA5ABD">
      <w:pPr>
        <w:pStyle w:val="Paragraphedeliste"/>
        <w:spacing w:line="360" w:lineRule="auto"/>
        <w:jc w:val="center"/>
        <w:rPr>
          <w:rFonts w:asciiTheme="majorBidi" w:hAnsiTheme="majorBidi" w:cstheme="majorBidi"/>
          <w:b/>
          <w:bCs/>
          <w:sz w:val="24"/>
          <w:szCs w:val="24"/>
        </w:rPr>
      </w:pPr>
    </w:p>
    <w:p w:rsidR="009878B4" w:rsidRDefault="009878B4" w:rsidP="00AA5ABD">
      <w:pPr>
        <w:pStyle w:val="Paragraphedeliste"/>
        <w:numPr>
          <w:ilvl w:val="0"/>
          <w:numId w:val="4"/>
        </w:numPr>
        <w:spacing w:line="360" w:lineRule="auto"/>
        <w:jc w:val="both"/>
        <w:rPr>
          <w:rFonts w:asciiTheme="majorBidi" w:hAnsiTheme="majorBidi" w:cstheme="majorBidi"/>
          <w:sz w:val="24"/>
          <w:szCs w:val="24"/>
        </w:rPr>
      </w:pPr>
      <w:r w:rsidRPr="009878B4">
        <w:rPr>
          <w:rFonts w:asciiTheme="majorBidi" w:hAnsiTheme="majorBidi" w:cstheme="majorBidi"/>
          <w:b/>
          <w:bCs/>
          <w:sz w:val="24"/>
          <w:szCs w:val="24"/>
        </w:rPr>
        <w:t xml:space="preserve">les monocytes : </w:t>
      </w:r>
      <w:r w:rsidRPr="001F7B76">
        <w:rPr>
          <w:rFonts w:asciiTheme="majorBidi" w:hAnsiTheme="majorBidi" w:cstheme="majorBidi"/>
          <w:sz w:val="24"/>
          <w:szCs w:val="24"/>
        </w:rPr>
        <w:t>font 15 à 20 micromètres de diamètre et leur</w:t>
      </w:r>
      <w:r w:rsidRPr="00B3000D">
        <w:rPr>
          <w:rFonts w:asciiTheme="majorBidi" w:hAnsiTheme="majorBidi" w:cstheme="majorBidi"/>
          <w:sz w:val="24"/>
          <w:szCs w:val="24"/>
        </w:rPr>
        <w:t>noyau est en fer àcheval. Ils vivent 24 h dans le sang puis passent dans les tissus ou ils deviennent desmacrophages qui éliminent les déchets cellulaires et microbiens laissés sur le lieu d’uneinfection. Ils gardent la capacité à se multiplier dans le sang</w:t>
      </w:r>
      <w:r w:rsidR="00B3000D">
        <w:rPr>
          <w:rFonts w:asciiTheme="majorBidi" w:hAnsiTheme="majorBidi" w:cstheme="majorBidi"/>
          <w:sz w:val="24"/>
          <w:szCs w:val="24"/>
        </w:rPr>
        <w:t>.</w:t>
      </w:r>
    </w:p>
    <w:p w:rsidR="00AF7276" w:rsidRPr="00AF7276" w:rsidRDefault="00AF7276" w:rsidP="00AF7276">
      <w:pPr>
        <w:spacing w:line="360" w:lineRule="auto"/>
        <w:jc w:val="both"/>
        <w:rPr>
          <w:rFonts w:asciiTheme="majorBidi" w:hAnsiTheme="majorBidi" w:cstheme="majorBidi"/>
          <w:sz w:val="24"/>
          <w:szCs w:val="24"/>
        </w:rPr>
      </w:pPr>
    </w:p>
    <w:p w:rsidR="00AF7276" w:rsidRDefault="00AF7276" w:rsidP="00AF7276">
      <w:pPr>
        <w:pStyle w:val="Paragraphedeliste"/>
        <w:spacing w:line="360" w:lineRule="auto"/>
        <w:ind w:left="780"/>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1932973" cy="169613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122" cy="1696268"/>
                    </a:xfrm>
                    <a:prstGeom prst="rect">
                      <a:avLst/>
                    </a:prstGeom>
                    <a:noFill/>
                    <a:ln>
                      <a:noFill/>
                    </a:ln>
                  </pic:spPr>
                </pic:pic>
              </a:graphicData>
            </a:graphic>
          </wp:inline>
        </w:drawing>
      </w:r>
    </w:p>
    <w:p w:rsidR="00B3000D" w:rsidRDefault="00AF7276" w:rsidP="00AF7276">
      <w:pPr>
        <w:pStyle w:val="Paragraphedeliste"/>
        <w:spacing w:line="360" w:lineRule="auto"/>
        <w:ind w:left="780"/>
        <w:jc w:val="center"/>
        <w:rPr>
          <w:rFonts w:asciiTheme="majorBidi" w:hAnsiTheme="majorBidi" w:cstheme="majorBidi"/>
          <w:b/>
          <w:bCs/>
          <w:sz w:val="24"/>
          <w:szCs w:val="24"/>
        </w:rPr>
      </w:pPr>
      <w:r w:rsidRPr="00AF7276">
        <w:rPr>
          <w:rFonts w:asciiTheme="majorBidi" w:hAnsiTheme="majorBidi" w:cstheme="majorBidi"/>
          <w:b/>
          <w:bCs/>
          <w:sz w:val="24"/>
          <w:szCs w:val="24"/>
        </w:rPr>
        <w:t>Figure 5</w:t>
      </w:r>
      <w:r w:rsidR="00AA5ABD" w:rsidRPr="00AF7276">
        <w:rPr>
          <w:rFonts w:asciiTheme="majorBidi" w:hAnsiTheme="majorBidi" w:cstheme="majorBidi"/>
          <w:b/>
          <w:bCs/>
          <w:sz w:val="24"/>
          <w:szCs w:val="24"/>
        </w:rPr>
        <w:t xml:space="preserve"> :</w:t>
      </w:r>
      <w:r w:rsidRPr="00AF7276">
        <w:rPr>
          <w:rFonts w:asciiTheme="majorBidi" w:hAnsiTheme="majorBidi" w:cstheme="majorBidi"/>
          <w:b/>
          <w:bCs/>
          <w:sz w:val="24"/>
          <w:szCs w:val="24"/>
        </w:rPr>
        <w:t xml:space="preserve"> Monocytes</w:t>
      </w:r>
    </w:p>
    <w:p w:rsidR="00AF7276" w:rsidRPr="00AF7276" w:rsidRDefault="00AF7276" w:rsidP="00AF7276">
      <w:pPr>
        <w:pStyle w:val="Paragraphedeliste"/>
        <w:spacing w:line="360" w:lineRule="auto"/>
        <w:ind w:left="780"/>
        <w:jc w:val="center"/>
        <w:rPr>
          <w:rFonts w:asciiTheme="majorBidi" w:hAnsiTheme="majorBidi" w:cstheme="majorBidi"/>
          <w:b/>
          <w:bCs/>
          <w:sz w:val="24"/>
          <w:szCs w:val="24"/>
        </w:rPr>
      </w:pPr>
    </w:p>
    <w:p w:rsidR="00AA5ABD" w:rsidRDefault="009878B4" w:rsidP="00AA5ABD">
      <w:pPr>
        <w:pStyle w:val="Paragraphedeliste"/>
        <w:numPr>
          <w:ilvl w:val="0"/>
          <w:numId w:val="4"/>
        </w:numPr>
        <w:spacing w:line="360" w:lineRule="auto"/>
        <w:jc w:val="both"/>
        <w:rPr>
          <w:rFonts w:asciiTheme="majorBidi" w:hAnsiTheme="majorBidi" w:cstheme="majorBidi"/>
          <w:sz w:val="24"/>
          <w:szCs w:val="24"/>
        </w:rPr>
      </w:pPr>
      <w:r w:rsidRPr="001F7B76">
        <w:rPr>
          <w:rFonts w:asciiTheme="majorBidi" w:hAnsiTheme="majorBidi" w:cstheme="majorBidi"/>
          <w:b/>
          <w:bCs/>
          <w:sz w:val="24"/>
          <w:szCs w:val="24"/>
        </w:rPr>
        <w:t>les lymphocytes</w:t>
      </w:r>
      <w:r w:rsidRPr="001F7B76">
        <w:rPr>
          <w:rFonts w:asciiTheme="majorBidi" w:hAnsiTheme="majorBidi" w:cstheme="majorBidi"/>
          <w:sz w:val="24"/>
          <w:szCs w:val="24"/>
        </w:rPr>
        <w:t xml:space="preserve"> : Les lymphocytes sont des cellules qui, outre leur </w:t>
      </w:r>
      <w:r w:rsidRPr="00B3000D">
        <w:rPr>
          <w:rFonts w:asciiTheme="majorBidi" w:hAnsiTheme="majorBidi" w:cstheme="majorBidi"/>
          <w:sz w:val="24"/>
          <w:szCs w:val="24"/>
        </w:rPr>
        <w:t>présence dans lesang, peuplent aussi les tissus lymphoïdes et lesorganes de même que la lymphe circulantdans les vaisseauxlymphatiques.On distingue morphol</w:t>
      </w:r>
      <w:r w:rsidR="00B3000D">
        <w:rPr>
          <w:rFonts w:asciiTheme="majorBidi" w:hAnsiTheme="majorBidi" w:cstheme="majorBidi"/>
          <w:sz w:val="24"/>
          <w:szCs w:val="24"/>
        </w:rPr>
        <w:t xml:space="preserve">ogiquement des petits </w:t>
      </w:r>
      <w:r w:rsidR="00B3000D" w:rsidRPr="00B3000D">
        <w:rPr>
          <w:rFonts w:asciiTheme="majorBidi" w:hAnsiTheme="majorBidi" w:cstheme="majorBidi"/>
          <w:sz w:val="24"/>
          <w:szCs w:val="24"/>
        </w:rPr>
        <w:t>comme</w:t>
      </w:r>
      <w:r w:rsidRPr="00B3000D">
        <w:rPr>
          <w:rFonts w:asciiTheme="majorBidi" w:hAnsiTheme="majorBidi" w:cstheme="majorBidi"/>
          <w:sz w:val="24"/>
          <w:szCs w:val="24"/>
        </w:rPr>
        <w:t xml:space="preserve"> des lymphocytes B</w:t>
      </w:r>
      <w:r w:rsidR="00B3000D">
        <w:rPr>
          <w:rFonts w:asciiTheme="majorBidi" w:hAnsiTheme="majorBidi" w:cstheme="majorBidi"/>
          <w:sz w:val="24"/>
          <w:szCs w:val="24"/>
        </w:rPr>
        <w:t xml:space="preserve">, </w:t>
      </w:r>
      <w:r w:rsidRPr="00B3000D">
        <w:rPr>
          <w:rFonts w:asciiTheme="majorBidi" w:hAnsiTheme="majorBidi" w:cstheme="majorBidi"/>
          <w:sz w:val="24"/>
          <w:szCs w:val="24"/>
        </w:rPr>
        <w:t>des lymphocytes T</w:t>
      </w:r>
      <w:r w:rsidR="00B3000D" w:rsidRPr="00B3000D">
        <w:rPr>
          <w:rFonts w:asciiTheme="majorBidi" w:hAnsiTheme="majorBidi" w:cstheme="majorBidi"/>
          <w:sz w:val="24"/>
          <w:szCs w:val="24"/>
        </w:rPr>
        <w:t xml:space="preserve"> et de grand </w:t>
      </w:r>
      <w:r w:rsidRPr="00B3000D">
        <w:rPr>
          <w:rFonts w:asciiTheme="majorBidi" w:hAnsiTheme="majorBidi" w:cstheme="majorBidi"/>
          <w:sz w:val="24"/>
          <w:szCs w:val="24"/>
        </w:rPr>
        <w:t xml:space="preserve"> lymphocytes</w:t>
      </w:r>
      <w:r w:rsidR="00B3000D" w:rsidRPr="00B3000D">
        <w:rPr>
          <w:rFonts w:asciiTheme="majorBidi" w:hAnsiTheme="majorBidi" w:cstheme="majorBidi"/>
          <w:sz w:val="24"/>
          <w:szCs w:val="24"/>
        </w:rPr>
        <w:t xml:space="preserve"> (</w:t>
      </w:r>
      <w:r w:rsidRPr="00B3000D">
        <w:rPr>
          <w:rFonts w:asciiTheme="majorBidi" w:hAnsiTheme="majorBidi" w:cstheme="majorBidi"/>
          <w:sz w:val="24"/>
          <w:szCs w:val="24"/>
        </w:rPr>
        <w:t xml:space="preserve"> NK</w:t>
      </w:r>
      <w:r w:rsidR="00B3000D">
        <w:rPr>
          <w:rFonts w:asciiTheme="majorBidi" w:hAnsiTheme="majorBidi" w:cstheme="majorBidi"/>
          <w:sz w:val="24"/>
          <w:szCs w:val="24"/>
        </w:rPr>
        <w:t xml:space="preserve">) </w:t>
      </w:r>
      <w:r w:rsidR="00AA5ABD">
        <w:rPr>
          <w:rFonts w:asciiTheme="majorBidi" w:hAnsiTheme="majorBidi" w:cstheme="majorBidi"/>
          <w:sz w:val="24"/>
          <w:szCs w:val="24"/>
        </w:rPr>
        <w:t>.</w:t>
      </w:r>
    </w:p>
    <w:p w:rsidR="00AF7276" w:rsidRDefault="00AF7276" w:rsidP="00AA5ABD">
      <w:pPr>
        <w:pStyle w:val="Paragraphedeliste"/>
        <w:rPr>
          <w:rFonts w:asciiTheme="majorBidi" w:hAnsiTheme="majorBidi" w:cstheme="majorBidi"/>
          <w:b/>
          <w:bCs/>
          <w:sz w:val="24"/>
          <w:szCs w:val="24"/>
        </w:rPr>
      </w:pPr>
    </w:p>
    <w:p w:rsidR="00AF7276" w:rsidRDefault="00AF7276" w:rsidP="00AA5ABD">
      <w:pPr>
        <w:pStyle w:val="Paragraphedeliste"/>
        <w:rPr>
          <w:rFonts w:asciiTheme="majorBidi" w:hAnsiTheme="majorBidi" w:cstheme="majorBidi"/>
          <w:b/>
          <w:bCs/>
          <w:sz w:val="24"/>
          <w:szCs w:val="24"/>
        </w:rPr>
      </w:pPr>
    </w:p>
    <w:p w:rsidR="00AF7276" w:rsidRDefault="00AF7276" w:rsidP="00AA5ABD">
      <w:pPr>
        <w:pStyle w:val="Paragraphedeliste"/>
        <w:rPr>
          <w:rFonts w:asciiTheme="majorBidi" w:hAnsiTheme="majorBidi" w:cstheme="majorBidi"/>
          <w:b/>
          <w:bCs/>
          <w:sz w:val="24"/>
          <w:szCs w:val="24"/>
        </w:rPr>
      </w:pPr>
    </w:p>
    <w:p w:rsidR="00AF7276" w:rsidRPr="00AF7276" w:rsidRDefault="00AF7276" w:rsidP="00AF7276">
      <w:pPr>
        <w:pStyle w:val="Paragraphedeliste"/>
        <w:jc w:val="center"/>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extent cx="2334849" cy="1678329"/>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902" cy="1678367"/>
                    </a:xfrm>
                    <a:prstGeom prst="rect">
                      <a:avLst/>
                    </a:prstGeom>
                    <a:noFill/>
                    <a:ln>
                      <a:noFill/>
                    </a:ln>
                  </pic:spPr>
                </pic:pic>
              </a:graphicData>
            </a:graphic>
          </wp:inline>
        </w:drawing>
      </w:r>
    </w:p>
    <w:p w:rsidR="00AF7276" w:rsidRDefault="00AF7276" w:rsidP="00AA5ABD">
      <w:pPr>
        <w:pStyle w:val="Paragraphedeliste"/>
        <w:rPr>
          <w:rFonts w:asciiTheme="majorBidi" w:hAnsiTheme="majorBidi" w:cstheme="majorBidi"/>
          <w:b/>
          <w:bCs/>
          <w:sz w:val="24"/>
          <w:szCs w:val="24"/>
        </w:rPr>
      </w:pPr>
    </w:p>
    <w:p w:rsidR="00AA5ABD" w:rsidRDefault="00AF7276" w:rsidP="00AA5ABD">
      <w:pPr>
        <w:pStyle w:val="Paragraphedeliste"/>
        <w:rPr>
          <w:rFonts w:asciiTheme="majorBidi" w:hAnsiTheme="majorBidi" w:cstheme="majorBidi"/>
          <w:b/>
          <w:bCs/>
          <w:sz w:val="24"/>
          <w:szCs w:val="24"/>
        </w:rPr>
      </w:pPr>
      <w:r w:rsidRPr="00AF7276">
        <w:rPr>
          <w:rFonts w:asciiTheme="majorBidi" w:hAnsiTheme="majorBidi" w:cstheme="majorBidi"/>
          <w:b/>
          <w:bCs/>
          <w:sz w:val="24"/>
          <w:szCs w:val="24"/>
        </w:rPr>
        <w:t>Figure 6</w:t>
      </w:r>
      <w:r w:rsidR="00AA5ABD" w:rsidRPr="00AF7276">
        <w:rPr>
          <w:rFonts w:asciiTheme="majorBidi" w:hAnsiTheme="majorBidi" w:cstheme="majorBidi"/>
          <w:b/>
          <w:bCs/>
          <w:sz w:val="24"/>
          <w:szCs w:val="24"/>
        </w:rPr>
        <w:t xml:space="preserve"> :</w:t>
      </w:r>
      <w:r w:rsidRPr="00AF7276">
        <w:rPr>
          <w:rFonts w:asciiTheme="majorBidi" w:hAnsiTheme="majorBidi" w:cstheme="majorBidi"/>
          <w:b/>
          <w:bCs/>
          <w:sz w:val="24"/>
          <w:szCs w:val="24"/>
        </w:rPr>
        <w:t xml:space="preserve"> Un lymphocyte</w:t>
      </w:r>
    </w:p>
    <w:p w:rsidR="00AF7276" w:rsidRPr="00AF7276" w:rsidRDefault="00AF7276" w:rsidP="00AA5ABD">
      <w:pPr>
        <w:pStyle w:val="Paragraphedeliste"/>
        <w:rPr>
          <w:rFonts w:asciiTheme="majorBidi" w:hAnsiTheme="majorBidi" w:cstheme="majorBidi"/>
          <w:b/>
          <w:bCs/>
          <w:sz w:val="24"/>
          <w:szCs w:val="24"/>
        </w:rPr>
      </w:pPr>
    </w:p>
    <w:p w:rsidR="009878B4" w:rsidRPr="00AA5ABD" w:rsidRDefault="00B3000D" w:rsidP="00AA5ABD">
      <w:pPr>
        <w:pStyle w:val="Paragraphedeliste"/>
        <w:spacing w:line="360" w:lineRule="auto"/>
        <w:ind w:left="780"/>
        <w:jc w:val="both"/>
        <w:rPr>
          <w:rFonts w:asciiTheme="majorBidi" w:hAnsiTheme="majorBidi" w:cstheme="majorBidi"/>
          <w:sz w:val="24"/>
          <w:szCs w:val="24"/>
        </w:rPr>
      </w:pPr>
      <w:r w:rsidRPr="00AA5ABD">
        <w:rPr>
          <w:rFonts w:asciiTheme="majorBidi" w:hAnsiTheme="majorBidi" w:cstheme="majorBidi"/>
          <w:sz w:val="24"/>
          <w:szCs w:val="24"/>
        </w:rPr>
        <w:t>Ces</w:t>
      </w:r>
      <w:r w:rsidR="009878B4" w:rsidRPr="00AA5ABD">
        <w:rPr>
          <w:rFonts w:asciiTheme="majorBidi" w:hAnsiTheme="majorBidi" w:cstheme="majorBidi"/>
          <w:sz w:val="24"/>
          <w:szCs w:val="24"/>
        </w:rPr>
        <w:t xml:space="preserve"> distinctions se basant sur la nature de leursrécepteurs de membrane et leur rôle exact dans la réponse immunitaire ; ils semultiplient dans lesang lorsqu’il existe des signaux d’activation ; Ils sont les principauxéléments du système immunitaire, et assurent la défense contre les attaques de microorganismespathogènes comme les virus, bactéries, champignons et parasites. Lesmécanismes de défense sont complexes : lors d’une agression par un agent pathogène semettent en place des systèmes de défense non spécifiques (inflammation…) puis d’autres,spécifiques dédiés par les lymphocytes : les B activés par une stimulation antigéniquedeviennent plasmocytes sécréteurs d’immunoglobulines à activité anticorps dirigée versl’antigène du microorganisme infectant ; les T portent des Anticorps de surface, eux aussispécifiques de l’antigène et se lient à l’agent infestant par ce biais , puis le détruisent.Des lymphocytes auxiliaires et suppréteurs participent à ces phénomènes de défense denature immune, humorale (lymphocytes B) ou cellulaire (lymphocytes T).</w:t>
      </w:r>
    </w:p>
    <w:p w:rsidR="00B3000D" w:rsidRPr="00B3000D" w:rsidRDefault="00B3000D" w:rsidP="00B3000D">
      <w:pPr>
        <w:pStyle w:val="Paragraphedeliste"/>
        <w:ind w:left="780"/>
        <w:rPr>
          <w:rFonts w:asciiTheme="majorBidi" w:hAnsiTheme="majorBidi" w:cstheme="majorBidi"/>
          <w:sz w:val="24"/>
          <w:szCs w:val="24"/>
        </w:rPr>
      </w:pPr>
    </w:p>
    <w:p w:rsidR="00AF7276" w:rsidRPr="00AF7276" w:rsidRDefault="009878B4" w:rsidP="00AF7276">
      <w:pPr>
        <w:pStyle w:val="Paragraphedeliste"/>
        <w:numPr>
          <w:ilvl w:val="0"/>
          <w:numId w:val="4"/>
        </w:numPr>
        <w:rPr>
          <w:rFonts w:asciiTheme="majorBidi" w:hAnsiTheme="majorBidi" w:cstheme="majorBidi"/>
          <w:b/>
          <w:bCs/>
          <w:sz w:val="24"/>
          <w:szCs w:val="24"/>
        </w:rPr>
      </w:pPr>
      <w:r w:rsidRPr="009878B4">
        <w:rPr>
          <w:rFonts w:asciiTheme="majorBidi" w:hAnsiTheme="majorBidi" w:cstheme="majorBidi"/>
          <w:b/>
          <w:bCs/>
          <w:sz w:val="24"/>
          <w:szCs w:val="24"/>
        </w:rPr>
        <w:t>Les plaquettes :</w:t>
      </w:r>
    </w:p>
    <w:p w:rsidR="009878B4" w:rsidRPr="00B3000D" w:rsidRDefault="009878B4" w:rsidP="009878B4">
      <w:pPr>
        <w:pStyle w:val="Paragraphedeliste"/>
        <w:rPr>
          <w:rFonts w:asciiTheme="majorBidi" w:hAnsiTheme="majorBidi" w:cstheme="majorBidi"/>
          <w:sz w:val="24"/>
          <w:szCs w:val="24"/>
        </w:rPr>
      </w:pPr>
      <w:r w:rsidRPr="00B3000D">
        <w:rPr>
          <w:rFonts w:asciiTheme="majorBidi" w:hAnsiTheme="majorBidi" w:cstheme="majorBidi"/>
          <w:sz w:val="24"/>
          <w:szCs w:val="24"/>
        </w:rPr>
        <w:t>T= 5 micromètres ; sans noyau</w:t>
      </w:r>
    </w:p>
    <w:p w:rsidR="003F1935" w:rsidRPr="00A13F1D" w:rsidRDefault="009878B4" w:rsidP="00A13F1D">
      <w:pPr>
        <w:pStyle w:val="Paragraphedeliste"/>
        <w:spacing w:line="360" w:lineRule="auto"/>
        <w:jc w:val="both"/>
        <w:rPr>
          <w:rFonts w:asciiTheme="majorBidi" w:hAnsiTheme="majorBidi" w:cstheme="majorBidi"/>
          <w:sz w:val="24"/>
          <w:szCs w:val="24"/>
        </w:rPr>
      </w:pPr>
      <w:r w:rsidRPr="00B3000D">
        <w:rPr>
          <w:rFonts w:asciiTheme="majorBidi" w:hAnsiTheme="majorBidi" w:cstheme="majorBidi"/>
          <w:sz w:val="24"/>
          <w:szCs w:val="24"/>
        </w:rPr>
        <w:t>Leur fonction principale est de faire cesser l'écoulement du sang</w:t>
      </w:r>
      <w:r w:rsidRPr="003F1935">
        <w:rPr>
          <w:rFonts w:asciiTheme="majorBidi" w:hAnsiTheme="majorBidi" w:cstheme="majorBidi"/>
          <w:sz w:val="24"/>
          <w:szCs w:val="24"/>
        </w:rPr>
        <w:t xml:space="preserve"> par les plaies(hémostase). A cette fin, elles s'agglutinent et libèrentdes facteurs favorisant lacoagulation du sang : sérotonine, qui réduit le diamètre des vaisseaux lésés et ralentit leflux sanguin, fibrine quicapture les cellules et donne lieu à la coagulation. Elles forment</w:t>
      </w:r>
      <w:r w:rsidR="00D30561" w:rsidRPr="003F1935">
        <w:rPr>
          <w:rFonts w:asciiTheme="majorBidi" w:hAnsiTheme="majorBidi" w:cstheme="majorBidi"/>
          <w:sz w:val="24"/>
          <w:szCs w:val="24"/>
        </w:rPr>
        <w:t xml:space="preserve"> ainsi  un bouchon, le thrombus</w:t>
      </w:r>
      <w:r w:rsidR="00D30561" w:rsidRPr="00A13F1D">
        <w:rPr>
          <w:rFonts w:asciiTheme="majorBidi" w:hAnsiTheme="majorBidi" w:cstheme="majorBidi"/>
          <w:sz w:val="24"/>
          <w:szCs w:val="24"/>
        </w:rPr>
        <w:t>.</w:t>
      </w:r>
    </w:p>
    <w:p w:rsidR="009878B4" w:rsidRDefault="003F1935" w:rsidP="003F1935">
      <w:pPr>
        <w:pStyle w:val="Paragraphedeliste"/>
        <w:spacing w:line="360" w:lineRule="auto"/>
        <w:jc w:val="center"/>
        <w:rPr>
          <w:rFonts w:asciiTheme="majorBidi" w:hAnsiTheme="majorBidi" w:cstheme="majorBidi"/>
          <w:sz w:val="24"/>
          <w:szCs w:val="24"/>
        </w:rPr>
      </w:pPr>
      <w:r>
        <w:rPr>
          <w:noProof/>
          <w:lang w:eastAsia="fr-FR"/>
        </w:rPr>
        <w:lastRenderedPageBreak/>
        <w:drawing>
          <wp:inline distT="0" distB="0" distL="0" distR="0">
            <wp:extent cx="2030818" cy="145666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311" cy="1457731"/>
                    </a:xfrm>
                    <a:prstGeom prst="rect">
                      <a:avLst/>
                    </a:prstGeom>
                    <a:noFill/>
                    <a:ln>
                      <a:noFill/>
                    </a:ln>
                  </pic:spPr>
                </pic:pic>
              </a:graphicData>
            </a:graphic>
          </wp:inline>
        </w:drawing>
      </w:r>
    </w:p>
    <w:p w:rsidR="00AA5ABD" w:rsidRDefault="00AF7276" w:rsidP="003F1935">
      <w:pPr>
        <w:pStyle w:val="Paragraphedeliste"/>
        <w:spacing w:line="360" w:lineRule="auto"/>
        <w:jc w:val="center"/>
        <w:rPr>
          <w:rFonts w:asciiTheme="majorBidi" w:hAnsiTheme="majorBidi" w:cstheme="majorBidi"/>
          <w:b/>
          <w:bCs/>
          <w:sz w:val="24"/>
          <w:szCs w:val="24"/>
        </w:rPr>
      </w:pPr>
      <w:r w:rsidRPr="00AF7276">
        <w:rPr>
          <w:rFonts w:asciiTheme="majorBidi" w:hAnsiTheme="majorBidi" w:cstheme="majorBidi"/>
          <w:b/>
          <w:bCs/>
          <w:sz w:val="24"/>
          <w:szCs w:val="24"/>
        </w:rPr>
        <w:t>Figure 7</w:t>
      </w:r>
      <w:r w:rsidR="00AA5ABD" w:rsidRPr="00AF7276">
        <w:rPr>
          <w:rFonts w:asciiTheme="majorBidi" w:hAnsiTheme="majorBidi" w:cstheme="majorBidi"/>
          <w:b/>
          <w:bCs/>
          <w:sz w:val="24"/>
          <w:szCs w:val="24"/>
        </w:rPr>
        <w:t xml:space="preserve"> :</w:t>
      </w:r>
      <w:r w:rsidRPr="00AF7276">
        <w:rPr>
          <w:rFonts w:asciiTheme="majorBidi" w:hAnsiTheme="majorBidi" w:cstheme="majorBidi"/>
          <w:b/>
          <w:bCs/>
          <w:sz w:val="24"/>
          <w:szCs w:val="24"/>
        </w:rPr>
        <w:t xml:space="preserve"> Les plaquettes</w:t>
      </w:r>
    </w:p>
    <w:p w:rsidR="00AF7276" w:rsidRDefault="00AF7276" w:rsidP="003F1935">
      <w:pPr>
        <w:pStyle w:val="Paragraphedeliste"/>
        <w:spacing w:line="360" w:lineRule="auto"/>
        <w:jc w:val="center"/>
        <w:rPr>
          <w:rFonts w:asciiTheme="majorBidi" w:hAnsiTheme="majorBidi" w:cstheme="majorBidi"/>
          <w:b/>
          <w:bCs/>
          <w:sz w:val="24"/>
          <w:szCs w:val="24"/>
        </w:rPr>
      </w:pPr>
    </w:p>
    <w:p w:rsidR="00F03896" w:rsidRPr="00F03896" w:rsidRDefault="00F03896" w:rsidP="003F1935">
      <w:pPr>
        <w:pStyle w:val="Paragraphedeliste"/>
        <w:spacing w:line="360" w:lineRule="auto"/>
        <w:jc w:val="center"/>
        <w:rPr>
          <w:rFonts w:asciiTheme="majorBidi" w:hAnsiTheme="majorBidi" w:cstheme="majorBidi"/>
          <w:b/>
          <w:bCs/>
          <w:sz w:val="24"/>
          <w:szCs w:val="24"/>
        </w:rPr>
      </w:pPr>
    </w:p>
    <w:p w:rsidR="00AF7276" w:rsidRPr="00F03896" w:rsidRDefault="00F03896" w:rsidP="00F03896">
      <w:pPr>
        <w:pStyle w:val="Paragraphedeliste"/>
        <w:numPr>
          <w:ilvl w:val="0"/>
          <w:numId w:val="1"/>
        </w:numPr>
        <w:spacing w:line="360" w:lineRule="auto"/>
        <w:rPr>
          <w:rFonts w:asciiTheme="majorBidi" w:hAnsiTheme="majorBidi" w:cstheme="majorBidi"/>
          <w:b/>
          <w:bCs/>
          <w:sz w:val="28"/>
          <w:szCs w:val="28"/>
        </w:rPr>
      </w:pPr>
      <w:r w:rsidRPr="00F03896">
        <w:rPr>
          <w:rFonts w:asciiTheme="majorBidi" w:hAnsiTheme="majorBidi" w:cstheme="majorBidi"/>
          <w:b/>
          <w:bCs/>
          <w:sz w:val="28"/>
          <w:szCs w:val="28"/>
        </w:rPr>
        <w:t>Développement du système hématopoïétique chez l’homme :</w:t>
      </w:r>
    </w:p>
    <w:p w:rsidR="00F03896" w:rsidRPr="00F03896" w:rsidRDefault="00F03896" w:rsidP="00F03896">
      <w:pPr>
        <w:pStyle w:val="Paragraphedeliste"/>
        <w:spacing w:line="360" w:lineRule="auto"/>
        <w:ind w:left="360"/>
        <w:rPr>
          <w:rFonts w:asciiTheme="majorBidi" w:hAnsiTheme="majorBidi" w:cstheme="majorBidi"/>
          <w:b/>
          <w:bCs/>
          <w:sz w:val="24"/>
          <w:szCs w:val="24"/>
        </w:rPr>
      </w:pPr>
      <w:r w:rsidRPr="00F03896">
        <w:rPr>
          <w:rFonts w:asciiTheme="majorBidi" w:hAnsiTheme="majorBidi" w:cstheme="majorBidi"/>
          <w:b/>
          <w:bCs/>
          <w:sz w:val="24"/>
          <w:szCs w:val="24"/>
        </w:rPr>
        <w:t>1- Durant la vie embryonnaire :</w:t>
      </w:r>
    </w:p>
    <w:p w:rsidR="00F03896" w:rsidRPr="00F03896" w:rsidRDefault="00F03896" w:rsidP="00F03896">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b/>
          <w:bCs/>
          <w:sz w:val="24"/>
          <w:szCs w:val="24"/>
        </w:rPr>
        <w:t xml:space="preserve"> Stade primitif mésodermique : </w:t>
      </w:r>
      <w:r w:rsidRPr="00F03896">
        <w:rPr>
          <w:rFonts w:asciiTheme="majorBidi" w:hAnsiTheme="majorBidi" w:cstheme="majorBidi"/>
          <w:sz w:val="24"/>
          <w:szCs w:val="24"/>
        </w:rPr>
        <w:t>Débute à J16, les cellules sanguines sont identifiables au niveau des îlots de Wolf et Pander dans le sac vitellin extra embryonnaire.</w:t>
      </w:r>
    </w:p>
    <w:p w:rsidR="00F03896" w:rsidRPr="00F03896" w:rsidRDefault="00F03896" w:rsidP="00F03896">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b/>
          <w:bCs/>
          <w:sz w:val="24"/>
          <w:szCs w:val="24"/>
        </w:rPr>
        <w:t xml:space="preserve"> Stade hépatosplénique : </w:t>
      </w:r>
      <w:r w:rsidRPr="00F03896">
        <w:rPr>
          <w:rFonts w:asciiTheme="majorBidi" w:hAnsiTheme="majorBidi" w:cstheme="majorBidi"/>
          <w:sz w:val="24"/>
          <w:szCs w:val="24"/>
        </w:rPr>
        <w:t>Du 3e au 6e mois, les cellules hématopoïétiques primitives formées, migrent rapidement vers le foie foetal et la rate. C’est à ce niveau que les CSH acquièrent la capacité de différenciation.</w:t>
      </w:r>
    </w:p>
    <w:p w:rsidR="00F03896" w:rsidRDefault="00F03896" w:rsidP="00F03896">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b/>
          <w:bCs/>
          <w:sz w:val="24"/>
          <w:szCs w:val="24"/>
        </w:rPr>
        <w:t xml:space="preserve"> Stade médullaire : </w:t>
      </w:r>
      <w:r w:rsidRPr="00F03896">
        <w:rPr>
          <w:rFonts w:asciiTheme="majorBidi" w:hAnsiTheme="majorBidi" w:cstheme="majorBidi"/>
          <w:sz w:val="24"/>
          <w:szCs w:val="24"/>
        </w:rPr>
        <w:t>L’activité hématopoïétique médullaire remplace progressivement le foie et la rate à partir du 4ème mois et devient prédominante au 6ème mois.</w:t>
      </w:r>
    </w:p>
    <w:p w:rsidR="00F03896" w:rsidRPr="00F03896" w:rsidRDefault="00F03896" w:rsidP="00F03896">
      <w:pPr>
        <w:pStyle w:val="Paragraphedeliste"/>
        <w:spacing w:line="360" w:lineRule="auto"/>
        <w:ind w:left="360"/>
        <w:rPr>
          <w:rFonts w:asciiTheme="majorBidi" w:hAnsiTheme="majorBidi" w:cstheme="majorBidi"/>
          <w:b/>
          <w:bCs/>
          <w:sz w:val="24"/>
          <w:szCs w:val="24"/>
        </w:rPr>
      </w:pPr>
      <w:r w:rsidRPr="00F03896">
        <w:rPr>
          <w:rFonts w:asciiTheme="majorBidi" w:hAnsiTheme="majorBidi" w:cstheme="majorBidi"/>
          <w:b/>
          <w:bCs/>
          <w:sz w:val="24"/>
          <w:szCs w:val="24"/>
        </w:rPr>
        <w:t>2- A la naissance :</w:t>
      </w:r>
    </w:p>
    <w:p w:rsidR="00F03896" w:rsidRDefault="00F03896" w:rsidP="00F03896">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sz w:val="24"/>
          <w:szCs w:val="24"/>
        </w:rPr>
        <w:t>L’hématopoïèse devient exclusive, dans la MO, à la naissance et pour toute la vie (tous les os jusqu'à 4ans puis uniquement les os plats et courts : sternum, bassin, cotes, vertèbres… les os longs subissent une involution adipeuse).</w:t>
      </w:r>
    </w:p>
    <w:p w:rsidR="001702F2" w:rsidRDefault="001702F2" w:rsidP="00F03896">
      <w:pPr>
        <w:pStyle w:val="Paragraphedeliste"/>
        <w:spacing w:line="360" w:lineRule="auto"/>
        <w:ind w:left="360"/>
        <w:jc w:val="both"/>
        <w:rPr>
          <w:rFonts w:asciiTheme="majorBidi" w:hAnsiTheme="majorBidi" w:cstheme="majorBidi"/>
          <w:sz w:val="24"/>
          <w:szCs w:val="24"/>
        </w:rPr>
      </w:pPr>
    </w:p>
    <w:p w:rsidR="00F03896" w:rsidRDefault="00F03896" w:rsidP="00F03896">
      <w:pPr>
        <w:pStyle w:val="Paragraphedeliste"/>
        <w:spacing w:line="360" w:lineRule="auto"/>
        <w:ind w:left="360"/>
        <w:jc w:val="both"/>
        <w:rPr>
          <w:rFonts w:asciiTheme="majorBidi" w:hAnsiTheme="majorBidi" w:cstheme="majorBidi"/>
          <w:sz w:val="24"/>
          <w:szCs w:val="24"/>
        </w:rPr>
      </w:pPr>
    </w:p>
    <w:p w:rsidR="00F03896" w:rsidRPr="00F03896" w:rsidRDefault="00F03896" w:rsidP="00F03896">
      <w:pPr>
        <w:pStyle w:val="Paragraphedeliste"/>
        <w:numPr>
          <w:ilvl w:val="0"/>
          <w:numId w:val="1"/>
        </w:numPr>
        <w:spacing w:line="360" w:lineRule="auto"/>
        <w:rPr>
          <w:rFonts w:asciiTheme="majorBidi" w:hAnsiTheme="majorBidi" w:cstheme="majorBidi"/>
          <w:b/>
          <w:bCs/>
          <w:sz w:val="28"/>
          <w:szCs w:val="28"/>
        </w:rPr>
      </w:pPr>
      <w:r w:rsidRPr="00F03896">
        <w:rPr>
          <w:rFonts w:asciiTheme="majorBidi" w:hAnsiTheme="majorBidi" w:cstheme="majorBidi"/>
          <w:b/>
          <w:bCs/>
          <w:sz w:val="28"/>
          <w:szCs w:val="28"/>
        </w:rPr>
        <w:t>Les Cellules souches hématopoïétiques</w:t>
      </w:r>
    </w:p>
    <w:p w:rsidR="00F03896" w:rsidRPr="001702F2" w:rsidRDefault="00F03896" w:rsidP="001702F2">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sz w:val="24"/>
          <w:szCs w:val="24"/>
        </w:rPr>
        <w:t>Toutes les cellules sanguines (hématies, polynucléaires, monocytes, lymphocytes et</w:t>
      </w:r>
      <w:r w:rsidRPr="001702F2">
        <w:rPr>
          <w:rFonts w:asciiTheme="majorBidi" w:hAnsiTheme="majorBidi" w:cstheme="majorBidi"/>
          <w:sz w:val="24"/>
          <w:szCs w:val="24"/>
        </w:rPr>
        <w:t>plaquettes) sont produites à partir d'une même cellule indifférenciée dite cellule souchetotipotente  ou cellule souche primitive.</w:t>
      </w:r>
    </w:p>
    <w:p w:rsidR="00F03896" w:rsidRPr="00F03896" w:rsidRDefault="00F03896" w:rsidP="001702F2">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sz w:val="24"/>
          <w:szCs w:val="24"/>
        </w:rPr>
        <w:t>Sous l'influence de facteurs stimulants une ce</w:t>
      </w:r>
      <w:r>
        <w:rPr>
          <w:rFonts w:asciiTheme="majorBidi" w:hAnsiTheme="majorBidi" w:cstheme="majorBidi"/>
          <w:sz w:val="24"/>
          <w:szCs w:val="24"/>
        </w:rPr>
        <w:t xml:space="preserve">llule souche </w:t>
      </w:r>
      <w:r w:rsidR="001702F2">
        <w:rPr>
          <w:rFonts w:asciiTheme="majorBidi" w:hAnsiTheme="majorBidi" w:cstheme="majorBidi"/>
          <w:sz w:val="24"/>
          <w:szCs w:val="24"/>
        </w:rPr>
        <w:t>to</w:t>
      </w:r>
      <w:r w:rsidRPr="00F03896">
        <w:rPr>
          <w:rFonts w:asciiTheme="majorBidi" w:hAnsiTheme="majorBidi" w:cstheme="majorBidi"/>
          <w:sz w:val="24"/>
          <w:szCs w:val="24"/>
        </w:rPr>
        <w:t>tipotente va s'engager dans</w:t>
      </w:r>
    </w:p>
    <w:p w:rsidR="00F03896" w:rsidRDefault="00F03896" w:rsidP="001702F2">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sz w:val="24"/>
          <w:szCs w:val="24"/>
        </w:rPr>
        <w:t>la différenciation d'une lignée cellulaire. Elle devient alors un progéniteur</w:t>
      </w:r>
      <w:r w:rsidRPr="001702F2">
        <w:rPr>
          <w:rFonts w:asciiTheme="majorBidi" w:hAnsiTheme="majorBidi" w:cstheme="majorBidi"/>
          <w:sz w:val="24"/>
          <w:szCs w:val="24"/>
        </w:rPr>
        <w:t>(= cellule souche différenciée ou " engagée ").</w:t>
      </w:r>
    </w:p>
    <w:p w:rsidR="001702F2" w:rsidRPr="001702F2" w:rsidRDefault="001702F2" w:rsidP="001702F2">
      <w:pPr>
        <w:pStyle w:val="Paragraphedeliste"/>
        <w:spacing w:line="360" w:lineRule="auto"/>
        <w:ind w:left="360"/>
        <w:jc w:val="both"/>
        <w:rPr>
          <w:rFonts w:asciiTheme="majorBidi" w:hAnsiTheme="majorBidi" w:cstheme="majorBidi"/>
          <w:sz w:val="24"/>
          <w:szCs w:val="24"/>
        </w:rPr>
      </w:pPr>
    </w:p>
    <w:p w:rsidR="00F03896" w:rsidRPr="001702F2" w:rsidRDefault="00F03896" w:rsidP="001702F2">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sz w:val="24"/>
          <w:szCs w:val="24"/>
        </w:rPr>
        <w:lastRenderedPageBreak/>
        <w:t>Après plusieurs divisions qui aboutissent à des cellules souches engagées et à la</w:t>
      </w:r>
      <w:r w:rsidRPr="001702F2">
        <w:rPr>
          <w:rFonts w:asciiTheme="majorBidi" w:hAnsiTheme="majorBidi" w:cstheme="majorBidi"/>
          <w:sz w:val="24"/>
          <w:szCs w:val="24"/>
        </w:rPr>
        <w:t>potentialisation de différenciation de plus en plus limitée, les progéniteurs deviennentspécifiques d'une seule lignée. On aboutit alors aux précurseurs, cellules identifiablesmorphologiquement sur un prélèvement de moelle osseuse. Ces précurseurs se divisent et</w:t>
      </w:r>
      <w:r w:rsidR="001702F2">
        <w:rPr>
          <w:rFonts w:asciiTheme="majorBidi" w:hAnsiTheme="majorBidi" w:cstheme="majorBidi"/>
          <w:sz w:val="24"/>
          <w:szCs w:val="24"/>
        </w:rPr>
        <w:t>maturent.</w:t>
      </w:r>
      <w:r w:rsidRPr="00F03896">
        <w:rPr>
          <w:rFonts w:asciiTheme="majorBidi" w:hAnsiTheme="majorBidi" w:cstheme="majorBidi"/>
          <w:sz w:val="24"/>
          <w:szCs w:val="24"/>
        </w:rPr>
        <w:t xml:space="preserve"> La maturation terminale aboutit</w:t>
      </w:r>
      <w:r w:rsidRPr="001702F2">
        <w:rPr>
          <w:rFonts w:asciiTheme="majorBidi" w:hAnsiTheme="majorBidi" w:cstheme="majorBidi"/>
          <w:sz w:val="24"/>
          <w:szCs w:val="24"/>
        </w:rPr>
        <w:t>aux cellules matures fonctionnelles qui passent dans le sang.</w:t>
      </w:r>
    </w:p>
    <w:p w:rsidR="00F03896" w:rsidRPr="00F03896" w:rsidRDefault="00F03896" w:rsidP="00F03896">
      <w:pPr>
        <w:pStyle w:val="Paragraphedeliste"/>
        <w:spacing w:line="360" w:lineRule="auto"/>
        <w:ind w:left="360"/>
        <w:rPr>
          <w:rFonts w:asciiTheme="majorBidi" w:hAnsiTheme="majorBidi" w:cstheme="majorBidi"/>
          <w:sz w:val="24"/>
          <w:szCs w:val="24"/>
        </w:rPr>
      </w:pPr>
      <w:r w:rsidRPr="00F03896">
        <w:rPr>
          <w:rFonts w:asciiTheme="majorBidi" w:hAnsiTheme="majorBidi" w:cstheme="majorBidi"/>
          <w:sz w:val="24"/>
          <w:szCs w:val="24"/>
        </w:rPr>
        <w:t>L'hématopoïèse comporte donc 4 compartiments cellulaires:</w:t>
      </w:r>
    </w:p>
    <w:p w:rsidR="00F03896" w:rsidRPr="00F03896" w:rsidRDefault="00F03896" w:rsidP="00F03896">
      <w:pPr>
        <w:pStyle w:val="Paragraphedeliste"/>
        <w:spacing w:line="360" w:lineRule="auto"/>
        <w:ind w:left="360"/>
        <w:rPr>
          <w:rFonts w:asciiTheme="majorBidi" w:hAnsiTheme="majorBidi" w:cstheme="majorBidi"/>
          <w:sz w:val="24"/>
          <w:szCs w:val="24"/>
        </w:rPr>
      </w:pPr>
      <w:r w:rsidRPr="00F03896">
        <w:rPr>
          <w:rFonts w:asciiTheme="majorBidi" w:hAnsiTheme="majorBidi" w:cstheme="majorBidi"/>
          <w:sz w:val="24"/>
          <w:szCs w:val="24"/>
        </w:rPr>
        <w:t>o Les cellules souches multipotentes</w:t>
      </w:r>
    </w:p>
    <w:p w:rsidR="00F03896" w:rsidRPr="00F03896" w:rsidRDefault="00F03896" w:rsidP="00F03896">
      <w:pPr>
        <w:pStyle w:val="Paragraphedeliste"/>
        <w:spacing w:line="360" w:lineRule="auto"/>
        <w:ind w:left="360"/>
        <w:rPr>
          <w:rFonts w:asciiTheme="majorBidi" w:hAnsiTheme="majorBidi" w:cstheme="majorBidi"/>
          <w:sz w:val="24"/>
          <w:szCs w:val="24"/>
        </w:rPr>
      </w:pPr>
      <w:r w:rsidRPr="00F03896">
        <w:rPr>
          <w:rFonts w:asciiTheme="majorBidi" w:hAnsiTheme="majorBidi" w:cstheme="majorBidi"/>
          <w:sz w:val="24"/>
          <w:szCs w:val="24"/>
        </w:rPr>
        <w:t>o Les progéniteurs</w:t>
      </w:r>
    </w:p>
    <w:p w:rsidR="00F03896" w:rsidRPr="00F03896" w:rsidRDefault="00F03896" w:rsidP="00F03896">
      <w:pPr>
        <w:pStyle w:val="Paragraphedeliste"/>
        <w:spacing w:line="360" w:lineRule="auto"/>
        <w:ind w:left="360"/>
        <w:rPr>
          <w:rFonts w:asciiTheme="majorBidi" w:hAnsiTheme="majorBidi" w:cstheme="majorBidi"/>
          <w:sz w:val="24"/>
          <w:szCs w:val="24"/>
        </w:rPr>
      </w:pPr>
      <w:r w:rsidRPr="00F03896">
        <w:rPr>
          <w:rFonts w:asciiTheme="majorBidi" w:hAnsiTheme="majorBidi" w:cstheme="majorBidi"/>
          <w:sz w:val="24"/>
          <w:szCs w:val="24"/>
        </w:rPr>
        <w:t>o Les précurseurs</w:t>
      </w:r>
    </w:p>
    <w:p w:rsidR="00F03896" w:rsidRDefault="00F03896" w:rsidP="00F03896">
      <w:pPr>
        <w:pStyle w:val="Paragraphedeliste"/>
        <w:spacing w:line="360" w:lineRule="auto"/>
        <w:ind w:left="360"/>
        <w:jc w:val="both"/>
        <w:rPr>
          <w:rFonts w:asciiTheme="majorBidi" w:hAnsiTheme="majorBidi" w:cstheme="majorBidi"/>
          <w:sz w:val="24"/>
          <w:szCs w:val="24"/>
        </w:rPr>
      </w:pPr>
      <w:r w:rsidRPr="00F03896">
        <w:rPr>
          <w:rFonts w:asciiTheme="majorBidi" w:hAnsiTheme="majorBidi" w:cstheme="majorBidi"/>
          <w:sz w:val="24"/>
          <w:szCs w:val="24"/>
        </w:rPr>
        <w:t>o Les cellules matures</w:t>
      </w:r>
    </w:p>
    <w:p w:rsidR="004D3547" w:rsidRDefault="004D3547" w:rsidP="00F03896">
      <w:pPr>
        <w:pStyle w:val="Paragraphedeliste"/>
        <w:spacing w:line="360" w:lineRule="auto"/>
        <w:ind w:left="360"/>
        <w:jc w:val="both"/>
        <w:rPr>
          <w:rFonts w:asciiTheme="majorBidi" w:hAnsiTheme="majorBidi" w:cstheme="majorBidi"/>
          <w:sz w:val="24"/>
          <w:szCs w:val="24"/>
        </w:rPr>
      </w:pPr>
    </w:p>
    <w:p w:rsidR="004D3547" w:rsidRPr="004D3547" w:rsidRDefault="004D3547" w:rsidP="004D3547">
      <w:pPr>
        <w:pStyle w:val="Paragraphedeliste"/>
        <w:numPr>
          <w:ilvl w:val="0"/>
          <w:numId w:val="2"/>
        </w:numPr>
        <w:spacing w:line="360" w:lineRule="auto"/>
        <w:rPr>
          <w:rFonts w:asciiTheme="majorBidi" w:hAnsiTheme="majorBidi" w:cstheme="majorBidi"/>
          <w:b/>
          <w:bCs/>
          <w:sz w:val="24"/>
          <w:szCs w:val="24"/>
        </w:rPr>
      </w:pPr>
      <w:r w:rsidRPr="004D3547">
        <w:rPr>
          <w:rFonts w:asciiTheme="majorBidi" w:hAnsiTheme="majorBidi" w:cstheme="majorBidi"/>
          <w:b/>
          <w:bCs/>
          <w:sz w:val="24"/>
          <w:szCs w:val="24"/>
        </w:rPr>
        <w:t>Les cellules souches primitives :</w:t>
      </w:r>
    </w:p>
    <w:p w:rsidR="004D3547" w:rsidRPr="004D3547" w:rsidRDefault="004D3547" w:rsidP="004D3547">
      <w:pPr>
        <w:pStyle w:val="Paragraphedeliste"/>
        <w:spacing w:line="360" w:lineRule="auto"/>
        <w:ind w:left="142" w:hanging="142"/>
        <w:jc w:val="both"/>
        <w:rPr>
          <w:rFonts w:asciiTheme="majorBidi" w:hAnsiTheme="majorBidi" w:cstheme="majorBidi"/>
          <w:sz w:val="24"/>
          <w:szCs w:val="24"/>
        </w:rPr>
      </w:pPr>
      <w:r w:rsidRPr="004D3547">
        <w:rPr>
          <w:rFonts w:asciiTheme="majorBidi" w:hAnsiTheme="majorBidi" w:cstheme="majorBidi"/>
          <w:sz w:val="24"/>
          <w:szCs w:val="24"/>
        </w:rPr>
        <w:t>Les cellules souches ont deux propriétés essentielles: la capacité d'auto-renouvellementet la capacité de différenciation</w:t>
      </w:r>
    </w:p>
    <w:p w:rsidR="004D3547" w:rsidRPr="004D3547" w:rsidRDefault="004D3547" w:rsidP="004D3547">
      <w:pPr>
        <w:pStyle w:val="Paragraphedeliste"/>
        <w:spacing w:line="360" w:lineRule="auto"/>
        <w:ind w:left="360"/>
        <w:jc w:val="both"/>
        <w:rPr>
          <w:rFonts w:asciiTheme="majorBidi" w:hAnsiTheme="majorBidi" w:cstheme="majorBidi"/>
          <w:sz w:val="24"/>
          <w:szCs w:val="24"/>
        </w:rPr>
      </w:pPr>
      <w:r w:rsidRPr="004D3547">
        <w:rPr>
          <w:rFonts w:asciiTheme="majorBidi" w:hAnsiTheme="majorBidi" w:cstheme="majorBidi"/>
          <w:sz w:val="24"/>
          <w:szCs w:val="24"/>
        </w:rPr>
        <w:t>o</w:t>
      </w:r>
      <w:r w:rsidRPr="004D3547">
        <w:rPr>
          <w:rFonts w:asciiTheme="majorBidi" w:hAnsiTheme="majorBidi" w:cstheme="majorBidi"/>
          <w:sz w:val="24"/>
          <w:szCs w:val="24"/>
          <w:u w:val="single"/>
        </w:rPr>
        <w:t>Auto renouvellement</w:t>
      </w:r>
      <w:r w:rsidRPr="004D3547">
        <w:rPr>
          <w:rFonts w:asciiTheme="majorBidi" w:hAnsiTheme="majorBidi" w:cstheme="majorBidi"/>
          <w:sz w:val="24"/>
          <w:szCs w:val="24"/>
        </w:rPr>
        <w:t xml:space="preserve"> = multiplication sans différenciation permettant de maintenirintact un pool de cellules souches primitives et donc le potentiel de l'hématopoïèse.</w:t>
      </w:r>
    </w:p>
    <w:p w:rsidR="004D3547" w:rsidRPr="004D3547" w:rsidRDefault="004D3547" w:rsidP="004D3547">
      <w:pPr>
        <w:pStyle w:val="Paragraphedeliste"/>
        <w:spacing w:line="360" w:lineRule="auto"/>
        <w:ind w:left="360"/>
        <w:jc w:val="both"/>
        <w:rPr>
          <w:rFonts w:asciiTheme="majorBidi" w:hAnsiTheme="majorBidi" w:cstheme="majorBidi"/>
          <w:sz w:val="24"/>
          <w:szCs w:val="24"/>
        </w:rPr>
      </w:pPr>
      <w:r w:rsidRPr="004D3547">
        <w:rPr>
          <w:rFonts w:asciiTheme="majorBidi" w:hAnsiTheme="majorBidi" w:cstheme="majorBidi"/>
          <w:sz w:val="24"/>
          <w:szCs w:val="24"/>
        </w:rPr>
        <w:t>o</w:t>
      </w:r>
      <w:r w:rsidRPr="004D3547">
        <w:rPr>
          <w:rFonts w:asciiTheme="majorBidi" w:hAnsiTheme="majorBidi" w:cstheme="majorBidi"/>
          <w:sz w:val="24"/>
          <w:szCs w:val="24"/>
          <w:u w:val="single"/>
        </w:rPr>
        <w:t xml:space="preserve">Différenciation </w:t>
      </w:r>
      <w:r w:rsidRPr="004D3547">
        <w:rPr>
          <w:rFonts w:asciiTheme="majorBidi" w:hAnsiTheme="majorBidi" w:cstheme="majorBidi"/>
          <w:sz w:val="24"/>
          <w:szCs w:val="24"/>
        </w:rPr>
        <w:t>= possibilité, sous l'influence de facteurs de croissance, de se diviser en</w:t>
      </w:r>
    </w:p>
    <w:p w:rsidR="004D3547" w:rsidRPr="004D3547" w:rsidRDefault="004D3547" w:rsidP="004D3547">
      <w:pPr>
        <w:pStyle w:val="Paragraphedeliste"/>
        <w:spacing w:line="360" w:lineRule="auto"/>
        <w:ind w:left="360"/>
        <w:jc w:val="both"/>
        <w:rPr>
          <w:rFonts w:asciiTheme="majorBidi" w:hAnsiTheme="majorBidi" w:cstheme="majorBidi"/>
          <w:sz w:val="24"/>
          <w:szCs w:val="24"/>
        </w:rPr>
      </w:pPr>
      <w:r w:rsidRPr="004D3547">
        <w:rPr>
          <w:rFonts w:asciiTheme="majorBidi" w:hAnsiTheme="majorBidi" w:cstheme="majorBidi"/>
          <w:sz w:val="24"/>
          <w:szCs w:val="24"/>
        </w:rPr>
        <w:t>s'engageant de façon irréversible vers plusieurs ou une lignée. La cellule perd alors sa</w:t>
      </w:r>
    </w:p>
    <w:p w:rsidR="004D3547" w:rsidRPr="004D3547" w:rsidRDefault="004D3547" w:rsidP="004D3547">
      <w:pPr>
        <w:pStyle w:val="Paragraphedeliste"/>
        <w:spacing w:line="360" w:lineRule="auto"/>
        <w:ind w:left="360"/>
        <w:jc w:val="both"/>
        <w:rPr>
          <w:rFonts w:asciiTheme="majorBidi" w:hAnsiTheme="majorBidi" w:cstheme="majorBidi"/>
          <w:sz w:val="24"/>
          <w:szCs w:val="24"/>
        </w:rPr>
      </w:pPr>
      <w:r>
        <w:rPr>
          <w:rFonts w:asciiTheme="majorBidi" w:hAnsiTheme="majorBidi" w:cstheme="majorBidi"/>
          <w:sz w:val="24"/>
          <w:szCs w:val="24"/>
        </w:rPr>
        <w:t>to</w:t>
      </w:r>
      <w:r w:rsidRPr="004D3547">
        <w:rPr>
          <w:rFonts w:asciiTheme="majorBidi" w:hAnsiTheme="majorBidi" w:cstheme="majorBidi"/>
          <w:sz w:val="24"/>
          <w:szCs w:val="24"/>
        </w:rPr>
        <w:t>tipotence pour devenir une cellule souche engagée.</w:t>
      </w:r>
    </w:p>
    <w:p w:rsidR="001702F2"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Lors d'une hématopoïèse normale il existe un équilibre entre la production des cellulessouches par division cellulaire (auto renouvellement) et la perte des cellules souches parengagement vers les lignées cellulaires (différenciation).</w:t>
      </w:r>
    </w:p>
    <w:p w:rsidR="004D3547" w:rsidRPr="004D3547" w:rsidRDefault="004D3547" w:rsidP="004D3547">
      <w:pPr>
        <w:pStyle w:val="Paragraphedeliste"/>
        <w:numPr>
          <w:ilvl w:val="0"/>
          <w:numId w:val="2"/>
        </w:numPr>
        <w:spacing w:line="360" w:lineRule="auto"/>
        <w:ind w:left="142" w:hanging="142"/>
        <w:rPr>
          <w:rFonts w:asciiTheme="majorBidi" w:hAnsiTheme="majorBidi" w:cstheme="majorBidi"/>
          <w:sz w:val="24"/>
          <w:szCs w:val="24"/>
        </w:rPr>
      </w:pPr>
      <w:r w:rsidRPr="004D3547">
        <w:rPr>
          <w:rFonts w:asciiTheme="majorBidi" w:hAnsiTheme="majorBidi" w:cstheme="majorBidi"/>
          <w:b/>
          <w:bCs/>
          <w:sz w:val="24"/>
          <w:szCs w:val="24"/>
        </w:rPr>
        <w:t>Les progéniteurs :</w:t>
      </w:r>
      <w:r w:rsidRPr="004D3547">
        <w:rPr>
          <w:rFonts w:asciiTheme="majorBidi" w:hAnsiTheme="majorBidi" w:cstheme="majorBidi"/>
          <w:sz w:val="24"/>
          <w:szCs w:val="24"/>
        </w:rPr>
        <w:t>La première différenciation d'une cellule souche multipotente après sa mise en cycle sefait vers la lignée lymphoïde ou vers la lignée myéloïde.</w:t>
      </w:r>
    </w:p>
    <w:p w:rsid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La cellule souche lymphoïde possède la potentialité de différenciation vers les deux typesde lymphocytes (T et B).</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La cellule souche myéloïde est appelée CFU-GEMM. Chaque nom de progéniteur estdéfinie par l'association du préfixe CFU ("ColonyForming Unit") suivi de(s) lettre(s) quicaractérisent les lignées dont elle garde le potentiel de différenciation (GEMM =Granuleuse, Erythrocytaire, Macrophage et Mégacaryocytaire). Cette cellule va poursuivreson programme de différenciation et donner naissance à des progéniteurs encore plusengagés:</w:t>
      </w:r>
    </w:p>
    <w:p w:rsidR="004D3547" w:rsidRPr="004D3547" w:rsidRDefault="004D3547" w:rsidP="004D3547">
      <w:pPr>
        <w:spacing w:line="360" w:lineRule="auto"/>
        <w:jc w:val="both"/>
        <w:rPr>
          <w:rFonts w:asciiTheme="majorBidi" w:hAnsiTheme="majorBidi" w:cstheme="majorBidi"/>
          <w:sz w:val="24"/>
          <w:szCs w:val="24"/>
        </w:rPr>
      </w:pPr>
      <w:r w:rsidRPr="004D3547">
        <w:rPr>
          <w:rFonts w:asciiTheme="majorBidi" w:hAnsiTheme="majorBidi" w:cstheme="majorBidi"/>
          <w:sz w:val="24"/>
          <w:szCs w:val="24"/>
        </w:rPr>
        <w:lastRenderedPageBreak/>
        <w:t>Les progéniteurs perdent progressivement leur capacité d'auto renouvellement au fur et àmesure de leur avancement dans la différenciation. Ils restent peu nombreux et nonidentifiables morphologiquement. Ils acquièrent les marqueurs immunologiques CD 33 etHLA-DR en plus du CD 34 déjà présen</w:t>
      </w:r>
      <w:r>
        <w:rPr>
          <w:rFonts w:asciiTheme="majorBidi" w:hAnsiTheme="majorBidi" w:cstheme="majorBidi"/>
          <w:sz w:val="24"/>
          <w:szCs w:val="24"/>
        </w:rPr>
        <w:t>t au stade de cellule souche to</w:t>
      </w:r>
      <w:r w:rsidRPr="004D3547">
        <w:rPr>
          <w:rFonts w:asciiTheme="majorBidi" w:hAnsiTheme="majorBidi" w:cstheme="majorBidi"/>
          <w:sz w:val="24"/>
          <w:szCs w:val="24"/>
        </w:rPr>
        <w:t>tipotente. Cesdéterminants antigéniques peuvent être reconnus par des anticorps monoclonaux.</w:t>
      </w:r>
    </w:p>
    <w:p w:rsidR="004D3547" w:rsidRPr="004D3547" w:rsidRDefault="004D3547" w:rsidP="004D3547">
      <w:pPr>
        <w:spacing w:line="360" w:lineRule="auto"/>
        <w:rPr>
          <w:rFonts w:asciiTheme="majorBidi" w:hAnsiTheme="majorBidi" w:cstheme="majorBidi"/>
          <w:b/>
          <w:bCs/>
          <w:sz w:val="24"/>
          <w:szCs w:val="24"/>
        </w:rPr>
      </w:pPr>
      <w:r w:rsidRPr="004D3547">
        <w:rPr>
          <w:rFonts w:asciiTheme="majorBidi" w:hAnsiTheme="majorBidi" w:cstheme="majorBidi"/>
          <w:b/>
          <w:bCs/>
          <w:sz w:val="24"/>
          <w:szCs w:val="24"/>
        </w:rPr>
        <w:t>Les précurseurs :</w:t>
      </w:r>
    </w:p>
    <w:p w:rsidR="004D3547" w:rsidRPr="004D3547" w:rsidRDefault="004D3547" w:rsidP="004D3547">
      <w:pPr>
        <w:spacing w:line="360" w:lineRule="auto"/>
        <w:jc w:val="both"/>
        <w:rPr>
          <w:rFonts w:asciiTheme="majorBidi" w:hAnsiTheme="majorBidi" w:cstheme="majorBidi"/>
          <w:sz w:val="24"/>
          <w:szCs w:val="24"/>
        </w:rPr>
      </w:pPr>
      <w:r w:rsidRPr="004D3547">
        <w:rPr>
          <w:rFonts w:asciiTheme="majorBidi" w:hAnsiTheme="majorBidi" w:cstheme="majorBidi"/>
          <w:sz w:val="24"/>
          <w:szCs w:val="24"/>
        </w:rPr>
        <w:t>Les précurseurs hématopoïétiques sont les premières cellules morphologiquementidentifiables de chaque lignée. Ce ne sont plus des cellules souches car elles ont perdustoute capacité d'auto renouvellement. Le compartiment des précurseurs a pour buts lamultiplication et la maturation cellulaire. Les précurseurs les plus immatures sont les</w:t>
      </w:r>
      <w:r>
        <w:rPr>
          <w:rFonts w:asciiTheme="majorBidi" w:hAnsiTheme="majorBidi" w:cstheme="majorBidi"/>
          <w:sz w:val="24"/>
          <w:szCs w:val="24"/>
        </w:rPr>
        <w:t xml:space="preserve"> myéloblastes (--&gt;</w:t>
      </w:r>
      <w:r w:rsidRPr="004D3547">
        <w:rPr>
          <w:rFonts w:asciiTheme="majorBidi" w:hAnsiTheme="majorBidi" w:cstheme="majorBidi"/>
          <w:sz w:val="24"/>
          <w:szCs w:val="24"/>
        </w:rPr>
        <w:t>polynucléaires), les proérythroblastes (--&gt; hématies), lesmégacaryoblastes (--&gt; plaquettes), les lymphoblastes (--&gt; lymphocytes) et lesmonoblastes (--&gt; monocytes). Ils sont localisés dans la moelle osseuse .</w:t>
      </w:r>
    </w:p>
    <w:p w:rsidR="004D3547" w:rsidRPr="004D3547" w:rsidRDefault="004D3547" w:rsidP="004D3547">
      <w:pPr>
        <w:spacing w:line="360" w:lineRule="auto"/>
        <w:rPr>
          <w:rFonts w:asciiTheme="majorBidi" w:hAnsiTheme="majorBidi" w:cstheme="majorBidi"/>
          <w:b/>
          <w:bCs/>
          <w:sz w:val="24"/>
          <w:szCs w:val="24"/>
        </w:rPr>
      </w:pPr>
      <w:r w:rsidRPr="004D3547">
        <w:rPr>
          <w:rFonts w:asciiTheme="majorBidi" w:hAnsiTheme="majorBidi" w:cstheme="majorBidi"/>
          <w:b/>
          <w:bCs/>
          <w:sz w:val="24"/>
          <w:szCs w:val="24"/>
        </w:rPr>
        <w:t>o La maturation:</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Divers stades cytologiques sont observés dans chaque lignée pour aboutir aux cellulesterminales fonctionnelles.</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Les modifications morphologiques communes et générales liées à la maturation sont:</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 la diminution de la taille cellulaire,</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 la diminution du rapport nucléo-cytoplasmique,</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 la disparition des nucléoles,</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 la condensation de la chromatine.</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La maturation de chaque lignée induit également des modifications spécifiques:</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 du noyau (par ex: polylobulation dans la lignée granuleuse),</w:t>
      </w:r>
    </w:p>
    <w:p w:rsidR="004D3547" w:rsidRP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 du cytoplasme (par ex: granulations spécifiques de la lignée granuleuse),</w:t>
      </w:r>
    </w:p>
    <w:p w:rsidR="004D3547" w:rsidRDefault="004D3547" w:rsidP="004D3547">
      <w:pPr>
        <w:spacing w:line="360" w:lineRule="auto"/>
        <w:rPr>
          <w:rFonts w:asciiTheme="majorBidi" w:hAnsiTheme="majorBidi" w:cstheme="majorBidi"/>
          <w:sz w:val="24"/>
          <w:szCs w:val="24"/>
        </w:rPr>
      </w:pPr>
      <w:r w:rsidRPr="004D3547">
        <w:rPr>
          <w:rFonts w:asciiTheme="majorBidi" w:hAnsiTheme="majorBidi" w:cstheme="majorBidi"/>
          <w:sz w:val="24"/>
          <w:szCs w:val="24"/>
        </w:rPr>
        <w:t>- de la membrane (apparition de protéines membranaires spécifiques reconnaissables par</w:t>
      </w:r>
      <w:r>
        <w:rPr>
          <w:rFonts w:asciiTheme="majorBidi" w:hAnsiTheme="majorBidi" w:cstheme="majorBidi"/>
          <w:sz w:val="24"/>
          <w:szCs w:val="24"/>
        </w:rPr>
        <w:t xml:space="preserve"> les anticorps).</w:t>
      </w:r>
    </w:p>
    <w:p w:rsidR="004D3547" w:rsidRPr="00E17E6D" w:rsidRDefault="00E17E6D" w:rsidP="004D3547">
      <w:pPr>
        <w:spacing w:line="360" w:lineRule="auto"/>
        <w:rPr>
          <w:rFonts w:asciiTheme="majorBidi" w:hAnsiTheme="majorBidi" w:cstheme="majorBidi"/>
          <w:b/>
          <w:bCs/>
          <w:sz w:val="24"/>
          <w:szCs w:val="24"/>
        </w:rPr>
      </w:pPr>
      <w:r w:rsidRPr="00E17E6D">
        <w:rPr>
          <w:rFonts w:asciiTheme="majorBidi" w:hAnsiTheme="majorBidi" w:cstheme="majorBidi"/>
          <w:b/>
          <w:bCs/>
          <w:sz w:val="24"/>
          <w:szCs w:val="24"/>
        </w:rPr>
        <w:t>o</w:t>
      </w:r>
      <w:r w:rsidR="004D3547" w:rsidRPr="00E17E6D">
        <w:rPr>
          <w:rFonts w:asciiTheme="majorBidi" w:hAnsiTheme="majorBidi" w:cstheme="majorBidi"/>
          <w:b/>
          <w:bCs/>
          <w:sz w:val="24"/>
          <w:szCs w:val="24"/>
        </w:rPr>
        <w:t>La multiplication:</w:t>
      </w:r>
    </w:p>
    <w:p w:rsidR="004D3547" w:rsidRPr="004D3547" w:rsidRDefault="004D3547" w:rsidP="00E17E6D">
      <w:pPr>
        <w:spacing w:line="360" w:lineRule="auto"/>
        <w:jc w:val="both"/>
        <w:rPr>
          <w:rFonts w:asciiTheme="majorBidi" w:hAnsiTheme="majorBidi" w:cstheme="majorBidi"/>
          <w:sz w:val="24"/>
          <w:szCs w:val="24"/>
        </w:rPr>
      </w:pPr>
      <w:r w:rsidRPr="004D3547">
        <w:rPr>
          <w:rFonts w:asciiTheme="majorBidi" w:hAnsiTheme="majorBidi" w:cstheme="majorBidi"/>
          <w:sz w:val="24"/>
          <w:szCs w:val="24"/>
        </w:rPr>
        <w:lastRenderedPageBreak/>
        <w:t>L'efficacité et le rendement de l'hématopoïèse seraient très faibles si à chaque précurseurne correspondait qu'un seul élément mature. Aussi, parallèlement à la maturation,chaque stade cytologique correspond à une division cellulaire. Selon les lignées il seproduit ainsi entre 3 et 5 mitoses de sorte qu'un précurseur peut donner naissance à 32cellules filles.</w:t>
      </w:r>
    </w:p>
    <w:p w:rsidR="004D3547" w:rsidRPr="004D3547" w:rsidRDefault="004D3547" w:rsidP="00E17E6D">
      <w:pPr>
        <w:spacing w:line="360" w:lineRule="auto"/>
        <w:jc w:val="both"/>
        <w:rPr>
          <w:rFonts w:asciiTheme="majorBidi" w:hAnsiTheme="majorBidi" w:cstheme="majorBidi"/>
          <w:sz w:val="24"/>
          <w:szCs w:val="24"/>
        </w:rPr>
      </w:pPr>
      <w:r w:rsidRPr="004D3547">
        <w:rPr>
          <w:rFonts w:asciiTheme="majorBidi" w:hAnsiTheme="majorBidi" w:cstheme="majorBidi"/>
          <w:sz w:val="24"/>
          <w:szCs w:val="24"/>
        </w:rPr>
        <w:t>Dans les précurseurs mégacaryocytaires la situation est très particulière: il n'y pas dedivision cellulaire mais une endomitose à l'intérieur des mégacaryocytes, la celluledoublant chaque fois son ADN. Les plaquettes sont des fragments de cytoplasme dumégacaryocyte qui seront libérées au moment de la mort de ce précurseur.</w:t>
      </w:r>
    </w:p>
    <w:p w:rsidR="004D3547" w:rsidRPr="00E17E6D" w:rsidRDefault="004D3547" w:rsidP="00E17E6D">
      <w:pPr>
        <w:pStyle w:val="Paragraphedeliste"/>
        <w:numPr>
          <w:ilvl w:val="0"/>
          <w:numId w:val="2"/>
        </w:numPr>
        <w:spacing w:line="360" w:lineRule="auto"/>
        <w:rPr>
          <w:rFonts w:asciiTheme="majorBidi" w:hAnsiTheme="majorBidi" w:cstheme="majorBidi"/>
          <w:b/>
          <w:bCs/>
          <w:sz w:val="24"/>
          <w:szCs w:val="24"/>
        </w:rPr>
      </w:pPr>
      <w:r w:rsidRPr="00E17E6D">
        <w:rPr>
          <w:rFonts w:asciiTheme="majorBidi" w:hAnsiTheme="majorBidi" w:cstheme="majorBidi"/>
          <w:b/>
          <w:bCs/>
          <w:sz w:val="24"/>
          <w:szCs w:val="24"/>
        </w:rPr>
        <w:t>Les cellules matures :</w:t>
      </w:r>
    </w:p>
    <w:p w:rsidR="00E17E6D" w:rsidRDefault="004D3547" w:rsidP="00E17E6D">
      <w:pPr>
        <w:spacing w:line="360" w:lineRule="auto"/>
        <w:rPr>
          <w:rFonts w:asciiTheme="majorBidi" w:hAnsiTheme="majorBidi" w:cstheme="majorBidi"/>
          <w:sz w:val="24"/>
          <w:szCs w:val="24"/>
        </w:rPr>
      </w:pPr>
      <w:r w:rsidRPr="004D3547">
        <w:rPr>
          <w:rFonts w:asciiTheme="majorBidi" w:hAnsiTheme="majorBidi" w:cstheme="majorBidi"/>
          <w:sz w:val="24"/>
          <w:szCs w:val="24"/>
        </w:rPr>
        <w:t>L'ensemble de l'hématopoïèse a lieu dans la moelle osseuse. Seules les cellulesterminales, matures et fonctionnelles, vont passer dans le sang : polynucléairesneutrophiles, éosinophiles et basophiles, hématies, plaquettes, lymphocytes etmonocytes. Pour la plupart de ces cellules le sang ne représente qu'un lieu de passage etde transport entre leur lieu de production (la moelle) et le lieu de leurs fonctions (lestissus). Les lymphocytes et les monocytes seront de plus capables de nouvellesdifférenciations après leur séjour sanguin.</w:t>
      </w:r>
    </w:p>
    <w:p w:rsidR="004D3547" w:rsidRDefault="00E17E6D" w:rsidP="004D3547">
      <w:pPr>
        <w:spacing w:line="360" w:lineRule="auto"/>
        <w:rPr>
          <w:rFonts w:asciiTheme="majorBidi" w:hAnsiTheme="majorBidi" w:cstheme="majorBidi"/>
          <w:sz w:val="24"/>
          <w:szCs w:val="24"/>
        </w:rPr>
      </w:pPr>
      <w:r>
        <w:rPr>
          <w:noProof/>
          <w:lang w:eastAsia="fr-FR"/>
        </w:rPr>
        <w:drawing>
          <wp:inline distT="0" distB="0" distL="0" distR="0">
            <wp:extent cx="5753099" cy="3295650"/>
            <wp:effectExtent l="0" t="0" r="63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5"/>
                    <a:srcRect/>
                    <a:stretch>
                      <a:fillRect/>
                    </a:stretch>
                  </pic:blipFill>
                  <pic:spPr bwMode="auto">
                    <a:xfrm>
                      <a:off x="0" y="0"/>
                      <a:ext cx="5753099" cy="3295650"/>
                    </a:xfrm>
                    <a:prstGeom prst="rect">
                      <a:avLst/>
                    </a:prstGeom>
                    <a:noFill/>
                    <a:ln w="9525">
                      <a:noFill/>
                      <a:miter lim="800000"/>
                      <a:headEnd/>
                      <a:tailEnd/>
                    </a:ln>
                    <a:effectLst/>
                  </pic:spPr>
                </pic:pic>
              </a:graphicData>
            </a:graphic>
          </wp:inline>
        </w:drawing>
      </w:r>
    </w:p>
    <w:p w:rsidR="00901DF1" w:rsidRDefault="00901DF1" w:rsidP="00901DF1">
      <w:pPr>
        <w:pStyle w:val="Paragraphedeliste"/>
        <w:numPr>
          <w:ilvl w:val="0"/>
          <w:numId w:val="1"/>
        </w:numPr>
        <w:spacing w:line="360" w:lineRule="auto"/>
        <w:rPr>
          <w:rFonts w:asciiTheme="majorBidi" w:hAnsiTheme="majorBidi" w:cstheme="majorBidi"/>
          <w:b/>
          <w:bCs/>
          <w:sz w:val="24"/>
          <w:szCs w:val="24"/>
        </w:rPr>
      </w:pPr>
      <w:r w:rsidRPr="00901DF1">
        <w:rPr>
          <w:rFonts w:asciiTheme="majorBidi" w:hAnsiTheme="majorBidi" w:cstheme="majorBidi"/>
          <w:b/>
          <w:bCs/>
          <w:sz w:val="24"/>
          <w:szCs w:val="24"/>
        </w:rPr>
        <w:t>Régulation de l’hématopoïèse</w:t>
      </w:r>
    </w:p>
    <w:p w:rsidR="00901DF1" w:rsidRPr="00901DF1" w:rsidRDefault="00901DF1" w:rsidP="00391577">
      <w:pPr>
        <w:pStyle w:val="Paragraphedeliste"/>
        <w:spacing w:line="360" w:lineRule="auto"/>
        <w:ind w:left="360"/>
        <w:jc w:val="both"/>
        <w:rPr>
          <w:rFonts w:asciiTheme="majorBidi" w:hAnsiTheme="majorBidi" w:cstheme="majorBidi"/>
          <w:sz w:val="24"/>
          <w:szCs w:val="24"/>
        </w:rPr>
      </w:pPr>
      <w:r w:rsidRPr="00901DF1">
        <w:rPr>
          <w:rFonts w:asciiTheme="majorBidi" w:hAnsiTheme="majorBidi" w:cstheme="majorBidi"/>
          <w:sz w:val="24"/>
          <w:szCs w:val="24"/>
        </w:rPr>
        <w:t xml:space="preserve">Les cellules souches de la moelle constituent la base indispensable à une hématopoïèseefficace. Trois éléments jouent également un rôle important pour obtenir </w:t>
      </w:r>
      <w:r w:rsidRPr="00901DF1">
        <w:rPr>
          <w:rFonts w:asciiTheme="majorBidi" w:hAnsiTheme="majorBidi" w:cstheme="majorBidi"/>
          <w:sz w:val="24"/>
          <w:szCs w:val="24"/>
        </w:rPr>
        <w:lastRenderedPageBreak/>
        <w:t>unehématopoïèse correcte et régulée: le microenvironnement médullaire, certainesvitamines et oligoéléments, les facteurs de croissance.</w:t>
      </w:r>
    </w:p>
    <w:p w:rsidR="00901DF1" w:rsidRPr="00901DF1" w:rsidRDefault="00391577" w:rsidP="00391577">
      <w:pPr>
        <w:pStyle w:val="Paragraphedeliste"/>
        <w:spacing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   1.  </w:t>
      </w:r>
      <w:r w:rsidR="00901DF1" w:rsidRPr="00901DF1">
        <w:rPr>
          <w:rFonts w:asciiTheme="majorBidi" w:hAnsiTheme="majorBidi" w:cstheme="majorBidi"/>
          <w:b/>
          <w:bCs/>
          <w:sz w:val="24"/>
          <w:szCs w:val="24"/>
        </w:rPr>
        <w:t xml:space="preserve">Le microenvironnement médullaire </w:t>
      </w:r>
      <w:r w:rsidR="00901DF1" w:rsidRPr="00901DF1">
        <w:rPr>
          <w:rFonts w:asciiTheme="majorBidi" w:hAnsiTheme="majorBidi" w:cstheme="majorBidi"/>
          <w:sz w:val="24"/>
          <w:szCs w:val="24"/>
        </w:rPr>
        <w:t>participe à l'organisation générale de la moelle. Ildonne aux cellules souches les conditions anatomiques et intercellulaires satisfaisantespour assurer l'hématopoïèse.</w:t>
      </w:r>
    </w:p>
    <w:p w:rsidR="00901DF1" w:rsidRPr="00901DF1" w:rsidRDefault="00901DF1" w:rsidP="00391577">
      <w:pPr>
        <w:pStyle w:val="Paragraphedeliste"/>
        <w:spacing w:line="360" w:lineRule="auto"/>
        <w:ind w:left="360"/>
        <w:jc w:val="both"/>
        <w:rPr>
          <w:rFonts w:asciiTheme="majorBidi" w:hAnsiTheme="majorBidi" w:cstheme="majorBidi"/>
          <w:sz w:val="24"/>
          <w:szCs w:val="24"/>
        </w:rPr>
      </w:pPr>
      <w:r w:rsidRPr="00901DF1">
        <w:rPr>
          <w:rFonts w:asciiTheme="majorBidi" w:hAnsiTheme="majorBidi" w:cstheme="majorBidi"/>
          <w:sz w:val="24"/>
          <w:szCs w:val="24"/>
        </w:rPr>
        <w:t>Le stroma médullaire est formé de différent types de cellules: fibroblastes, cellules</w:t>
      </w:r>
    </w:p>
    <w:p w:rsidR="00901DF1" w:rsidRPr="00901DF1" w:rsidRDefault="00901DF1" w:rsidP="00391577">
      <w:pPr>
        <w:pStyle w:val="Paragraphedeliste"/>
        <w:spacing w:line="360" w:lineRule="auto"/>
        <w:ind w:left="360"/>
        <w:jc w:val="both"/>
        <w:rPr>
          <w:rFonts w:asciiTheme="majorBidi" w:hAnsiTheme="majorBidi" w:cstheme="majorBidi"/>
          <w:sz w:val="24"/>
          <w:szCs w:val="24"/>
        </w:rPr>
      </w:pPr>
      <w:r w:rsidRPr="00901DF1">
        <w:rPr>
          <w:rFonts w:asciiTheme="majorBidi" w:hAnsiTheme="majorBidi" w:cstheme="majorBidi"/>
          <w:sz w:val="24"/>
          <w:szCs w:val="24"/>
        </w:rPr>
        <w:t>endothéliales, macrophages, cellules épithéliales et adipocytes. Ces cellules du stroma</w:t>
      </w:r>
    </w:p>
    <w:p w:rsidR="00901DF1" w:rsidRPr="00901DF1" w:rsidRDefault="00901DF1" w:rsidP="00391577">
      <w:pPr>
        <w:pStyle w:val="Paragraphedeliste"/>
        <w:spacing w:line="360" w:lineRule="auto"/>
        <w:ind w:left="360"/>
        <w:jc w:val="both"/>
        <w:rPr>
          <w:rFonts w:asciiTheme="majorBidi" w:hAnsiTheme="majorBidi" w:cstheme="majorBidi"/>
          <w:sz w:val="24"/>
          <w:szCs w:val="24"/>
        </w:rPr>
      </w:pPr>
      <w:r w:rsidRPr="00901DF1">
        <w:rPr>
          <w:rFonts w:asciiTheme="majorBidi" w:hAnsiTheme="majorBidi" w:cstheme="majorBidi"/>
          <w:sz w:val="24"/>
          <w:szCs w:val="24"/>
        </w:rPr>
        <w:t>sont organisées au sein des logettes hématopoïétiques. Elles sécrètent des matrices</w:t>
      </w:r>
    </w:p>
    <w:p w:rsidR="00901DF1" w:rsidRDefault="00901DF1" w:rsidP="00391577">
      <w:pPr>
        <w:pStyle w:val="Paragraphedeliste"/>
        <w:spacing w:line="360" w:lineRule="auto"/>
        <w:ind w:left="360"/>
        <w:jc w:val="both"/>
        <w:rPr>
          <w:rFonts w:asciiTheme="majorBidi" w:hAnsiTheme="majorBidi" w:cstheme="majorBidi"/>
          <w:sz w:val="24"/>
          <w:szCs w:val="24"/>
        </w:rPr>
      </w:pPr>
      <w:r w:rsidRPr="00901DF1">
        <w:rPr>
          <w:rFonts w:asciiTheme="majorBidi" w:hAnsiTheme="majorBidi" w:cstheme="majorBidi"/>
          <w:sz w:val="24"/>
          <w:szCs w:val="24"/>
        </w:rPr>
        <w:t>extracellulaires et des facteurs de croissance. Les matrices extracellulaires permettentl'adhésion des cellules souches en particulier grâce au collagène.</w:t>
      </w:r>
    </w:p>
    <w:p w:rsidR="00391577" w:rsidRPr="00901DF1" w:rsidRDefault="00391577" w:rsidP="00391577">
      <w:pPr>
        <w:pStyle w:val="Paragraphedeliste"/>
        <w:spacing w:line="360" w:lineRule="auto"/>
        <w:ind w:left="360"/>
        <w:jc w:val="both"/>
        <w:rPr>
          <w:rFonts w:asciiTheme="majorBidi" w:hAnsiTheme="majorBidi" w:cstheme="majorBidi"/>
          <w:sz w:val="24"/>
          <w:szCs w:val="24"/>
        </w:rPr>
      </w:pPr>
    </w:p>
    <w:p w:rsidR="00901DF1" w:rsidRPr="00901DF1" w:rsidRDefault="00391577" w:rsidP="00391577">
      <w:pPr>
        <w:pStyle w:val="Paragraphedeliste"/>
        <w:spacing w:line="360" w:lineRule="auto"/>
        <w:ind w:left="360"/>
        <w:jc w:val="both"/>
        <w:rPr>
          <w:rFonts w:asciiTheme="majorBidi" w:hAnsiTheme="majorBidi" w:cstheme="majorBidi"/>
          <w:sz w:val="24"/>
          <w:szCs w:val="24"/>
        </w:rPr>
      </w:pPr>
      <w:r>
        <w:rPr>
          <w:rFonts w:asciiTheme="majorBidi" w:hAnsiTheme="majorBidi" w:cstheme="majorBidi"/>
          <w:b/>
          <w:bCs/>
          <w:sz w:val="24"/>
          <w:szCs w:val="24"/>
        </w:rPr>
        <w:t xml:space="preserve">        2.  </w:t>
      </w:r>
      <w:r w:rsidR="00901DF1" w:rsidRPr="00391577">
        <w:rPr>
          <w:rFonts w:asciiTheme="majorBidi" w:hAnsiTheme="majorBidi" w:cstheme="majorBidi"/>
          <w:b/>
          <w:bCs/>
          <w:sz w:val="24"/>
          <w:szCs w:val="24"/>
        </w:rPr>
        <w:t>Des vitamines et oligoéléments</w:t>
      </w:r>
      <w:r w:rsidR="00901DF1" w:rsidRPr="00901DF1">
        <w:rPr>
          <w:rFonts w:asciiTheme="majorBidi" w:hAnsiTheme="majorBidi" w:cstheme="majorBidi"/>
          <w:sz w:val="24"/>
          <w:szCs w:val="24"/>
        </w:rPr>
        <w:t xml:space="preserve"> sont indispensables à l'hématopoïèse: Certains agissent surl'ensemble des lignées cellulaires. C'est le cas de la vitamine B12 et de l'acide folique quisont nécessaires à la synthèse de l'ADN et donc à la division cellulaire. Ces vitamines sontdites antimégaloblastiques. Leur déficit entraînera des anomalies de formation danstoutes les lignées.</w:t>
      </w:r>
    </w:p>
    <w:p w:rsidR="00901DF1" w:rsidRDefault="00901DF1" w:rsidP="00391577">
      <w:pPr>
        <w:pStyle w:val="Paragraphedeliste"/>
        <w:spacing w:line="360" w:lineRule="auto"/>
        <w:ind w:left="360"/>
        <w:jc w:val="both"/>
        <w:rPr>
          <w:rFonts w:asciiTheme="majorBidi" w:hAnsiTheme="majorBidi" w:cstheme="majorBidi"/>
          <w:sz w:val="24"/>
          <w:szCs w:val="24"/>
        </w:rPr>
      </w:pPr>
      <w:r w:rsidRPr="00901DF1">
        <w:rPr>
          <w:rFonts w:asciiTheme="majorBidi" w:hAnsiTheme="majorBidi" w:cstheme="majorBidi"/>
          <w:sz w:val="24"/>
          <w:szCs w:val="24"/>
        </w:rPr>
        <w:t>D'autres sont nécessaires à la fabrication de protéines spécifiques de lignées. C'est le casdu fer, indispensable à l'érythropoïèse pour la synthèse de l'hémoglobine.</w:t>
      </w:r>
    </w:p>
    <w:p w:rsidR="00391577" w:rsidRDefault="00391577" w:rsidP="00391577">
      <w:pPr>
        <w:pStyle w:val="Paragraphedeliste"/>
        <w:spacing w:line="360" w:lineRule="auto"/>
        <w:ind w:left="360"/>
        <w:jc w:val="both"/>
        <w:rPr>
          <w:rFonts w:asciiTheme="majorBidi" w:hAnsiTheme="majorBidi" w:cstheme="majorBidi"/>
          <w:sz w:val="24"/>
          <w:szCs w:val="24"/>
        </w:rPr>
      </w:pP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b/>
          <w:bCs/>
          <w:sz w:val="24"/>
          <w:szCs w:val="24"/>
        </w:rPr>
        <w:t xml:space="preserve"> 3.Les facteurs de croissance hématopoïétiques</w:t>
      </w:r>
      <w:r w:rsidRPr="00391577">
        <w:rPr>
          <w:rFonts w:asciiTheme="majorBidi" w:hAnsiTheme="majorBidi" w:cstheme="majorBidi"/>
          <w:sz w:val="24"/>
          <w:szCs w:val="24"/>
        </w:rPr>
        <w:t xml:space="preserve"> sont des glycoprotéines agissant comme des"hormones hématopoïétiques</w:t>
      </w:r>
      <w:r>
        <w:rPr>
          <w:rFonts w:asciiTheme="majorBidi" w:hAnsiTheme="majorBidi" w:cstheme="majorBidi"/>
          <w:sz w:val="24"/>
          <w:szCs w:val="24"/>
        </w:rPr>
        <w:t>.</w:t>
      </w:r>
      <w:r w:rsidRPr="00391577">
        <w:rPr>
          <w:rFonts w:asciiTheme="majorBidi" w:hAnsiTheme="majorBidi" w:cstheme="majorBidi"/>
          <w:sz w:val="24"/>
          <w:szCs w:val="24"/>
        </w:rPr>
        <w:t>On distingue schématiquement 3 types de facteurs de</w:t>
      </w:r>
    </w:p>
    <w:p w:rsid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t>croissance selon leur lieu d'action au cours de l'hématopoïèse:</w:t>
      </w:r>
    </w:p>
    <w:p w:rsidR="00391577" w:rsidRPr="00391577" w:rsidRDefault="00391577" w:rsidP="00391577">
      <w:pPr>
        <w:pStyle w:val="Paragraphedeliste"/>
        <w:spacing w:line="360" w:lineRule="auto"/>
        <w:ind w:left="360"/>
        <w:rPr>
          <w:rFonts w:asciiTheme="majorBidi" w:hAnsiTheme="majorBidi" w:cstheme="majorBidi"/>
          <w:sz w:val="24"/>
          <w:szCs w:val="24"/>
        </w:rPr>
      </w:pP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b/>
          <w:bCs/>
          <w:sz w:val="24"/>
          <w:szCs w:val="24"/>
        </w:rPr>
        <w:t>a- Les facteurs de promotion:</w:t>
      </w:r>
      <w:r w:rsidRPr="00391577">
        <w:rPr>
          <w:rFonts w:asciiTheme="majorBidi" w:hAnsiTheme="majorBidi" w:cstheme="majorBidi"/>
          <w:sz w:val="24"/>
          <w:szCs w:val="24"/>
        </w:rPr>
        <w:t xml:space="preserve"> Ce sont principalement l’IL1, l’IL 6 et le SCF (Stem Cell Factor) agissent sur des progéniteurs très primitifs pluripotents. -Ils augmentent le nombre de cellules souches en cycle cellulaire, - Ils sensibilisent les cellules souches multipotentes à l'action des autres facteurs de croissance.</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b/>
          <w:bCs/>
          <w:sz w:val="24"/>
          <w:szCs w:val="24"/>
        </w:rPr>
        <w:t>b- Les facteurs multipotents</w:t>
      </w:r>
      <w:r w:rsidRPr="00391577">
        <w:rPr>
          <w:rFonts w:asciiTheme="majorBidi" w:hAnsiTheme="majorBidi" w:cstheme="majorBidi"/>
          <w:sz w:val="24"/>
          <w:szCs w:val="24"/>
        </w:rPr>
        <w:t>: La prolifération des progéniteurs « activés » nécessite la réception d’un deuxième signal tel que l’IL3 ou le GM-CSF (ColonyStimulating Factor). Ils agissent sur les cellules souches les plus immatures après sensibilisation par les facteurs de promotion et ils permettent la survie et la différenciation des cellules souches.</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b/>
          <w:bCs/>
          <w:sz w:val="24"/>
          <w:szCs w:val="24"/>
        </w:rPr>
        <w:t>c- Les facteurs restreints</w:t>
      </w:r>
      <w:r w:rsidRPr="00391577">
        <w:rPr>
          <w:rFonts w:asciiTheme="majorBidi" w:hAnsiTheme="majorBidi" w:cstheme="majorBidi"/>
          <w:sz w:val="24"/>
          <w:szCs w:val="24"/>
        </w:rPr>
        <w:t xml:space="preserve"> :</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t>Ils agissent sur les cellules souches engagées et favorisent la multiplication cellulaire et la maturation des précurseurs. Ce sont principalement le :</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lastRenderedPageBreak/>
        <w:t>- G-CSF (lignée granuleuse neutrophile).</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t>- M-CSF (lignée monocytaire).</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t>- IL 5 (lignée granuleuse éosinophile).</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t>- IL 4 (lignée granuleuse basophile).</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t>- IL 6 (lignée mégacaryocytaire).</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t>- EPO (Erythropoïétine de la lignée érythroïde).</w:t>
      </w:r>
    </w:p>
    <w:p w:rsidR="00391577" w:rsidRPr="00391577" w:rsidRDefault="00391577" w:rsidP="00391577">
      <w:pPr>
        <w:pStyle w:val="Paragraphedeliste"/>
        <w:spacing w:line="360" w:lineRule="auto"/>
        <w:ind w:left="360"/>
        <w:rPr>
          <w:rFonts w:asciiTheme="majorBidi" w:hAnsiTheme="majorBidi" w:cstheme="majorBidi"/>
          <w:sz w:val="24"/>
          <w:szCs w:val="24"/>
        </w:rPr>
      </w:pPr>
      <w:r w:rsidRPr="00391577">
        <w:rPr>
          <w:rFonts w:asciiTheme="majorBidi" w:hAnsiTheme="majorBidi" w:cstheme="majorBidi"/>
          <w:sz w:val="24"/>
          <w:szCs w:val="24"/>
        </w:rPr>
        <w:t>- TPO (thrombopoïétinemégacaryocytaire).</w:t>
      </w:r>
    </w:p>
    <w:sectPr w:rsidR="00391577" w:rsidRPr="00391577" w:rsidSect="00E32C59">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A62" w:rsidRDefault="00F41A62" w:rsidP="004501E1">
      <w:pPr>
        <w:spacing w:after="0" w:line="240" w:lineRule="auto"/>
      </w:pPr>
      <w:r>
        <w:separator/>
      </w:r>
    </w:p>
  </w:endnote>
  <w:endnote w:type="continuationSeparator" w:id="1">
    <w:p w:rsidR="00F41A62" w:rsidRDefault="00F41A62" w:rsidP="004501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3E" w:rsidRDefault="00431C3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046074"/>
      <w:docPartObj>
        <w:docPartGallery w:val="Page Numbers (Bottom of Page)"/>
        <w:docPartUnique/>
      </w:docPartObj>
    </w:sdtPr>
    <w:sdtContent>
      <w:p w:rsidR="00431C3E" w:rsidRDefault="00E32C59">
        <w:pPr>
          <w:pStyle w:val="Pieddepage"/>
          <w:jc w:val="right"/>
        </w:pPr>
        <w:r>
          <w:fldChar w:fldCharType="begin"/>
        </w:r>
        <w:r w:rsidR="00431C3E">
          <w:instrText>PAGE   \* MERGEFORMAT</w:instrText>
        </w:r>
        <w:r>
          <w:fldChar w:fldCharType="separate"/>
        </w:r>
        <w:r w:rsidR="00AB4CF3">
          <w:rPr>
            <w:noProof/>
          </w:rPr>
          <w:t>1</w:t>
        </w:r>
        <w:r>
          <w:fldChar w:fldCharType="end"/>
        </w:r>
      </w:p>
    </w:sdtContent>
  </w:sdt>
  <w:p w:rsidR="00431C3E" w:rsidRDefault="00431C3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3E" w:rsidRDefault="00431C3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A62" w:rsidRDefault="00F41A62" w:rsidP="004501E1">
      <w:pPr>
        <w:spacing w:after="0" w:line="240" w:lineRule="auto"/>
      </w:pPr>
      <w:r>
        <w:separator/>
      </w:r>
    </w:p>
  </w:footnote>
  <w:footnote w:type="continuationSeparator" w:id="1">
    <w:p w:rsidR="00F41A62" w:rsidRDefault="00F41A62" w:rsidP="004501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3E" w:rsidRDefault="00431C3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F1D" w:rsidRDefault="00E32C59">
    <w:pPr>
      <w:pStyle w:val="En-tte"/>
    </w:pPr>
    <w:r>
      <w:rPr>
        <w:noProof/>
        <w:lang w:eastAsia="fr-FR"/>
      </w:rPr>
      <w:pict>
        <v:group id="Groupe 196" o:spid="_x0000_s4097"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" o:allowincell="f">
          <v:rect id="Rectangle 197" o:spid="_x0000_s4100"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b8QA&#10;AADcAAAADwAAAGRycy9kb3ducmV2LnhtbESP3YrCMBSE7wXfIZwFbxZNreBK1ygiCEVBdrs/14fm&#10;bBu2OSlN1Pr2RhC8HGbmG2a57m0jztR541jBdJKAIC6dNlwp+P7ajRcgfEDW2DgmBVfysF4NB0vM&#10;tLvwJ52LUIkIYZ+hgjqENpPSlzVZ9BPXEkfvz3UWQ5RdJXWHlwi3jUyTZC4tGo4LNba0ran8L05W&#10;gf8w+XbPu9lP/uvfzKE5pa90VGr00m/eQQTqwzP8aOdaQZrO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52/EAAAA3AAAAA8AAAAAAAAAAAAAAAAAmAIAAGRycy9k&#10;b3ducmV2LnhtbFBLBQYAAAAABAAEAPUAAACJAwAAAAA=&#10;" fillcolor="#938953 [1614]" stroked="f" strokecolor="white" strokeweight="1.5pt">
            <v:textbox>
              <w:txbxContent>
                <w:p w:rsidR="00A13F1D" w:rsidRPr="00B742C7" w:rsidRDefault="00A13F1D" w:rsidP="004501E1">
                  <w:pPr>
                    <w:pStyle w:val="En-tte"/>
                    <w:rPr>
                      <w:rFonts w:asciiTheme="majorBidi" w:hAnsiTheme="majorBidi" w:cstheme="majorBidi"/>
                      <w:b/>
                      <w:bCs/>
                    </w:rPr>
                  </w:pPr>
                  <w:r w:rsidRPr="00B742C7">
                    <w:rPr>
                      <w:rFonts w:asciiTheme="majorBidi" w:hAnsiTheme="majorBidi" w:cstheme="majorBidi"/>
                      <w:b/>
                      <w:bCs/>
                    </w:rPr>
                    <w:t>Cours d’immunologie Cellulaire et moléculaire</w:t>
                  </w:r>
                </w:p>
                <w:p w:rsidR="00A13F1D" w:rsidRPr="00B742C7" w:rsidRDefault="00A13F1D" w:rsidP="004501E1">
                  <w:pPr>
                    <w:pStyle w:val="En-tte"/>
                    <w:rPr>
                      <w:rFonts w:asciiTheme="majorBidi" w:hAnsiTheme="majorBidi" w:cstheme="majorBidi"/>
                      <w:b/>
                      <w:bCs/>
                    </w:rPr>
                  </w:pPr>
                  <w:r w:rsidRPr="00B742C7">
                    <w:rPr>
                      <w:rFonts w:asciiTheme="majorBidi" w:hAnsiTheme="majorBidi" w:cstheme="majorBidi"/>
                      <w:b/>
                      <w:bCs/>
                    </w:rPr>
                    <w:t>3éme année Biochimie</w:t>
                  </w:r>
                </w:p>
              </w:txbxContent>
            </v:textbox>
          </v:rect>
          <v:rect id="Rectangle 198" o:spid="_x0000_s4099"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HqscA&#10;AADcAAAADwAAAGRycy9kb3ducmV2LnhtbESPQWvCQBSE7wX/w/IKvUjdGGjTxmxECoLUQzGK9vjI&#10;PpPU7NuQ3Wr6712h4HGYmW+YbD6YVpypd41lBdNJBIK4tLrhSsFuu3x+A+E8ssbWMin4IwfzfPSQ&#10;YarthTd0LnwlAoRdigpq77tUSlfWZNBNbEccvKPtDfog+0rqHi8BbloZR9GrNNhwWKixo4+aylPx&#10;axQUyyT+su8v43L/M/48fMs17VZrpZ4eh8UMhKfB38P/7ZVWEMcJ3M6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AR6rHAAAA3AAAAA8AAAAAAAAAAAAAAAAAmAIAAGRy&#10;cy9kb3ducmV2LnhtbFBLBQYAAAAABAAEAPUAAACMAwAAAAA=&#10;" fillcolor="#9bbb59 [3206]" stroked="f" strokecolor="white" strokeweight="2pt">
            <v:textbox>
              <w:txbxContent>
                <w:sdt>
                  <w:sdtPr>
                    <w:rPr>
                      <w:rFonts w:asciiTheme="majorBidi" w:hAnsiTheme="majorBidi" w:cstheme="majorBidi"/>
                      <w:b/>
                      <w:bCs/>
                      <w:sz w:val="20"/>
                      <w:szCs w:val="20"/>
                    </w:rPr>
                    <w:alias w:val="Année"/>
                    <w:id w:val="78709920"/>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A13F1D" w:rsidRPr="00B742C7" w:rsidRDefault="00A13F1D" w:rsidP="004501E1">
                      <w:pPr>
                        <w:pStyle w:val="En-tte"/>
                        <w:rPr>
                          <w:rFonts w:asciiTheme="majorBidi" w:hAnsiTheme="majorBidi" w:cstheme="majorBidi"/>
                          <w:b/>
                          <w:bCs/>
                          <w:sz w:val="20"/>
                          <w:szCs w:val="20"/>
                        </w:rPr>
                      </w:pPr>
                      <w:r w:rsidRPr="00B742C7">
                        <w:rPr>
                          <w:rFonts w:asciiTheme="majorBidi" w:hAnsiTheme="majorBidi" w:cstheme="majorBidi"/>
                          <w:b/>
                          <w:bCs/>
                          <w:sz w:val="20"/>
                          <w:szCs w:val="20"/>
                        </w:rPr>
                        <w:t xml:space="preserve"> Dr BENSERRADJ Ouafa</w:t>
                      </w:r>
                    </w:p>
                  </w:sdtContent>
                </w:sdt>
              </w:txbxContent>
            </v:textbox>
          </v:rect>
          <v:rect id="Rectangle 199" o:spid="_x0000_s4098"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w:r>
  </w:p>
  <w:p w:rsidR="00A13F1D" w:rsidRDefault="00A13F1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C3E" w:rsidRDefault="00431C3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72E42"/>
    <w:multiLevelType w:val="hybridMultilevel"/>
    <w:tmpl w:val="73ACEC0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nsid w:val="3E672C41"/>
    <w:multiLevelType w:val="multilevel"/>
    <w:tmpl w:val="59B8675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nsid w:val="64CC3D49"/>
    <w:multiLevelType w:val="hybridMultilevel"/>
    <w:tmpl w:val="1FE4EDB0"/>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5511CF2"/>
    <w:multiLevelType w:val="hybridMultilevel"/>
    <w:tmpl w:val="8188CFE4"/>
    <w:lvl w:ilvl="0" w:tplc="1A5A4702">
      <w:start w:val="2"/>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6CC10135"/>
    <w:multiLevelType w:val="hybridMultilevel"/>
    <w:tmpl w:val="57A85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4501E1"/>
    <w:rsid w:val="001702F2"/>
    <w:rsid w:val="001F7B76"/>
    <w:rsid w:val="00296C00"/>
    <w:rsid w:val="002D2FAB"/>
    <w:rsid w:val="00391577"/>
    <w:rsid w:val="003F1935"/>
    <w:rsid w:val="00431C3E"/>
    <w:rsid w:val="00440E8F"/>
    <w:rsid w:val="004501E1"/>
    <w:rsid w:val="004A31F2"/>
    <w:rsid w:val="004D3547"/>
    <w:rsid w:val="005F0298"/>
    <w:rsid w:val="0083347F"/>
    <w:rsid w:val="008D4065"/>
    <w:rsid w:val="00901DF1"/>
    <w:rsid w:val="009878B4"/>
    <w:rsid w:val="00A13F1D"/>
    <w:rsid w:val="00A826F4"/>
    <w:rsid w:val="00AA5ABD"/>
    <w:rsid w:val="00AB4CF3"/>
    <w:rsid w:val="00AF3BC3"/>
    <w:rsid w:val="00AF7276"/>
    <w:rsid w:val="00B3000D"/>
    <w:rsid w:val="00B742C7"/>
    <w:rsid w:val="00D30561"/>
    <w:rsid w:val="00E17E6D"/>
    <w:rsid w:val="00E32C59"/>
    <w:rsid w:val="00F03896"/>
    <w:rsid w:val="00F41A6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C5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501E1"/>
    <w:pPr>
      <w:tabs>
        <w:tab w:val="center" w:pos="4536"/>
        <w:tab w:val="right" w:pos="9072"/>
      </w:tabs>
      <w:spacing w:after="0" w:line="240" w:lineRule="auto"/>
    </w:pPr>
  </w:style>
  <w:style w:type="character" w:customStyle="1" w:styleId="En-tteCar">
    <w:name w:val="En-tête Car"/>
    <w:basedOn w:val="Policepardfaut"/>
    <w:link w:val="En-tte"/>
    <w:uiPriority w:val="99"/>
    <w:rsid w:val="004501E1"/>
  </w:style>
  <w:style w:type="paragraph" w:styleId="Pieddepage">
    <w:name w:val="footer"/>
    <w:basedOn w:val="Normal"/>
    <w:link w:val="PieddepageCar"/>
    <w:uiPriority w:val="99"/>
    <w:unhideWhenUsed/>
    <w:rsid w:val="004501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01E1"/>
  </w:style>
  <w:style w:type="paragraph" w:styleId="Textedebulles">
    <w:name w:val="Balloon Text"/>
    <w:basedOn w:val="Normal"/>
    <w:link w:val="TextedebullesCar"/>
    <w:uiPriority w:val="99"/>
    <w:semiHidden/>
    <w:unhideWhenUsed/>
    <w:rsid w:val="004501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1E1"/>
    <w:rPr>
      <w:rFonts w:ascii="Tahoma" w:hAnsi="Tahoma" w:cs="Tahoma"/>
      <w:sz w:val="16"/>
      <w:szCs w:val="16"/>
    </w:rPr>
  </w:style>
  <w:style w:type="paragraph" w:styleId="Paragraphedeliste">
    <w:name w:val="List Paragraph"/>
    <w:basedOn w:val="Normal"/>
    <w:uiPriority w:val="34"/>
    <w:qFormat/>
    <w:rsid w:val="00B742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501E1"/>
    <w:pPr>
      <w:tabs>
        <w:tab w:val="center" w:pos="4536"/>
        <w:tab w:val="right" w:pos="9072"/>
      </w:tabs>
      <w:spacing w:after="0" w:line="240" w:lineRule="auto"/>
    </w:pPr>
  </w:style>
  <w:style w:type="character" w:customStyle="1" w:styleId="En-tteCar">
    <w:name w:val="En-tête Car"/>
    <w:basedOn w:val="Policepardfaut"/>
    <w:link w:val="En-tte"/>
    <w:uiPriority w:val="99"/>
    <w:rsid w:val="004501E1"/>
  </w:style>
  <w:style w:type="paragraph" w:styleId="Pieddepage">
    <w:name w:val="footer"/>
    <w:basedOn w:val="Normal"/>
    <w:link w:val="PieddepageCar"/>
    <w:uiPriority w:val="99"/>
    <w:unhideWhenUsed/>
    <w:rsid w:val="004501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01E1"/>
  </w:style>
  <w:style w:type="paragraph" w:styleId="Textedebulles">
    <w:name w:val="Balloon Text"/>
    <w:basedOn w:val="Normal"/>
    <w:link w:val="TextedebullesCar"/>
    <w:uiPriority w:val="99"/>
    <w:semiHidden/>
    <w:unhideWhenUsed/>
    <w:rsid w:val="004501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1E1"/>
    <w:rPr>
      <w:rFonts w:ascii="Tahoma" w:hAnsi="Tahoma" w:cs="Tahoma"/>
      <w:sz w:val="16"/>
      <w:szCs w:val="16"/>
    </w:rPr>
  </w:style>
  <w:style w:type="paragraph" w:styleId="Paragraphedeliste">
    <w:name w:val="List Paragraph"/>
    <w:basedOn w:val="Normal"/>
    <w:uiPriority w:val="34"/>
    <w:qFormat/>
    <w:rsid w:val="00B742C7"/>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Dr BENSERRADJ Ouafa</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2316</Words>
  <Characters>12740</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cp:revision>
  <dcterms:created xsi:type="dcterms:W3CDTF">2022-04-18T15:18:00Z</dcterms:created>
  <dcterms:modified xsi:type="dcterms:W3CDTF">2022-04-18T15:18:00Z</dcterms:modified>
</cp:coreProperties>
</file>