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64" w:rsidRDefault="000A0B64" w:rsidP="000A0B64">
      <w:pPr>
        <w:jc w:val="both"/>
        <w:rPr>
          <w:rFonts w:asciiTheme="majorBidi" w:hAnsiTheme="majorBidi" w:cstheme="majorBidi"/>
          <w:b/>
          <w:bCs/>
          <w:sz w:val="28"/>
          <w:szCs w:val="28"/>
        </w:rPr>
      </w:pPr>
      <w:r w:rsidRPr="00E46D3D">
        <w:rPr>
          <w:rFonts w:asciiTheme="majorBidi" w:hAnsiTheme="majorBidi" w:cstheme="majorBidi"/>
          <w:b/>
          <w:bCs/>
          <w:sz w:val="28"/>
          <w:szCs w:val="28"/>
        </w:rPr>
        <w:t xml:space="preserve">COURS N° </w:t>
      </w:r>
      <w:r>
        <w:rPr>
          <w:rFonts w:asciiTheme="majorBidi" w:hAnsiTheme="majorBidi" w:cstheme="majorBidi"/>
          <w:b/>
          <w:bCs/>
          <w:sz w:val="28"/>
          <w:szCs w:val="28"/>
        </w:rPr>
        <w:t>7</w:t>
      </w:r>
      <w:r w:rsidRPr="00E46D3D">
        <w:rPr>
          <w:rFonts w:asciiTheme="majorBidi" w:hAnsiTheme="majorBidi" w:cstheme="majorBidi"/>
          <w:b/>
          <w:bCs/>
          <w:sz w:val="28"/>
          <w:szCs w:val="28"/>
        </w:rPr>
        <w:t> </w:t>
      </w:r>
      <w:r w:rsidR="005F1FAD" w:rsidRPr="00E46D3D">
        <w:rPr>
          <w:rFonts w:asciiTheme="majorBidi" w:hAnsiTheme="majorBidi" w:cstheme="majorBidi"/>
          <w:b/>
          <w:bCs/>
          <w:sz w:val="28"/>
          <w:szCs w:val="28"/>
        </w:rPr>
        <w:t xml:space="preserve">: </w:t>
      </w:r>
      <w:r w:rsidR="005F1FAD" w:rsidRPr="00960DB1">
        <w:rPr>
          <w:rFonts w:asciiTheme="majorBidi" w:hAnsiTheme="majorBidi" w:cstheme="majorBidi"/>
          <w:b/>
          <w:bCs/>
          <w:sz w:val="28"/>
          <w:szCs w:val="28"/>
        </w:rPr>
        <w:t>L’ORDRE</w:t>
      </w:r>
      <w:r>
        <w:rPr>
          <w:rFonts w:asciiTheme="majorBidi" w:hAnsiTheme="majorBidi" w:cstheme="majorBidi"/>
          <w:b/>
          <w:bCs/>
          <w:sz w:val="28"/>
          <w:szCs w:val="28"/>
        </w:rPr>
        <w:t xml:space="preserve"> JUDICIAIRE ADMINISTRATIF</w:t>
      </w:r>
    </w:p>
    <w:p w:rsidR="000A0B64" w:rsidRDefault="000A0B64" w:rsidP="000A0B64">
      <w:pPr>
        <w:spacing w:line="240" w:lineRule="auto"/>
        <w:ind w:firstLine="567"/>
        <w:jc w:val="both"/>
        <w:rPr>
          <w:rFonts w:asciiTheme="majorBidi" w:hAnsiTheme="majorBidi" w:cstheme="majorBidi"/>
          <w:sz w:val="28"/>
          <w:szCs w:val="28"/>
        </w:rPr>
      </w:pPr>
      <w:r w:rsidRPr="00C07ACE">
        <w:rPr>
          <w:rFonts w:asciiTheme="majorBidi" w:hAnsiTheme="majorBidi" w:cstheme="majorBidi"/>
          <w:sz w:val="28"/>
          <w:szCs w:val="28"/>
        </w:rPr>
        <w:t xml:space="preserve">Les affaires où l’État ou ses institutions font partie, devaient être traité devant le tribunal administratif comme premier ressort. </w:t>
      </w:r>
      <w:r>
        <w:rPr>
          <w:rFonts w:asciiTheme="majorBidi" w:hAnsiTheme="majorBidi" w:cstheme="majorBidi"/>
          <w:sz w:val="28"/>
          <w:szCs w:val="28"/>
        </w:rPr>
        <w:t xml:space="preserve">Les décisions de ce dernier sont susceptibles d’appel devant le conseil d’État. </w:t>
      </w:r>
    </w:p>
    <w:p w:rsidR="000A0B64" w:rsidRDefault="000A0B64" w:rsidP="00223399">
      <w:pPr>
        <w:spacing w:line="240" w:lineRule="auto"/>
        <w:jc w:val="both"/>
      </w:pPr>
      <w:r>
        <w:rPr>
          <w:rFonts w:asciiTheme="majorBidi" w:hAnsiTheme="majorBidi" w:cstheme="majorBidi"/>
          <w:b/>
          <w:bCs/>
          <w:sz w:val="28"/>
          <w:szCs w:val="28"/>
        </w:rPr>
        <w:t>I</w:t>
      </w:r>
      <w:r w:rsidRPr="00A445CE">
        <w:rPr>
          <w:rFonts w:asciiTheme="majorBidi" w:hAnsiTheme="majorBidi" w:cstheme="majorBidi"/>
          <w:b/>
          <w:bCs/>
          <w:sz w:val="28"/>
          <w:szCs w:val="28"/>
        </w:rPr>
        <w:t xml:space="preserve">-Le tribunal administratif: </w:t>
      </w:r>
      <w:r>
        <w:rPr>
          <w:rFonts w:asciiTheme="majorBidi" w:hAnsiTheme="majorBidi" w:cstheme="majorBidi"/>
          <w:sz w:val="28"/>
          <w:szCs w:val="28"/>
        </w:rPr>
        <w:t>est</w:t>
      </w:r>
      <w:r w:rsidRPr="00A445CE">
        <w:rPr>
          <w:rFonts w:asciiTheme="majorBidi" w:hAnsiTheme="majorBidi" w:cstheme="majorBidi"/>
          <w:sz w:val="28"/>
          <w:szCs w:val="28"/>
        </w:rPr>
        <w:t xml:space="preserve"> l</w:t>
      </w:r>
      <w:r>
        <w:rPr>
          <w:rFonts w:asciiTheme="majorBidi" w:hAnsiTheme="majorBidi" w:cstheme="majorBidi"/>
          <w:sz w:val="28"/>
          <w:szCs w:val="28"/>
        </w:rPr>
        <w:t>a</w:t>
      </w:r>
      <w:r w:rsidRPr="00A445CE">
        <w:rPr>
          <w:rFonts w:asciiTheme="majorBidi" w:hAnsiTheme="majorBidi" w:cstheme="majorBidi"/>
          <w:sz w:val="28"/>
          <w:szCs w:val="28"/>
        </w:rPr>
        <w:t xml:space="preserve"> juridiction </w:t>
      </w:r>
      <w:r>
        <w:rPr>
          <w:rFonts w:asciiTheme="majorBidi" w:hAnsiTheme="majorBidi" w:cstheme="majorBidi"/>
          <w:sz w:val="28"/>
          <w:szCs w:val="28"/>
        </w:rPr>
        <w:t>de première instance en matière d</w:t>
      </w:r>
      <w:r w:rsidRPr="00A445CE">
        <w:rPr>
          <w:rFonts w:asciiTheme="majorBidi" w:hAnsiTheme="majorBidi" w:cstheme="majorBidi"/>
          <w:sz w:val="28"/>
          <w:szCs w:val="28"/>
        </w:rPr>
        <w:t>es contentieux administratifs où est partie l’</w:t>
      </w:r>
      <w:r w:rsidR="00223399" w:rsidRPr="00C07ACE">
        <w:rPr>
          <w:rFonts w:asciiTheme="majorBidi" w:hAnsiTheme="majorBidi" w:cstheme="majorBidi"/>
          <w:sz w:val="28"/>
          <w:szCs w:val="28"/>
        </w:rPr>
        <w:t>É</w:t>
      </w:r>
      <w:r w:rsidRPr="00A445CE">
        <w:rPr>
          <w:rFonts w:asciiTheme="majorBidi" w:hAnsiTheme="majorBidi" w:cstheme="majorBidi"/>
          <w:sz w:val="28"/>
          <w:szCs w:val="28"/>
        </w:rPr>
        <w:t>tat ou la Wilaya ou la commune ou l’une des instances publiques à caractère administratif</w:t>
      </w:r>
      <w:r>
        <w:rPr>
          <w:rFonts w:asciiTheme="majorBidi" w:hAnsiTheme="majorBidi" w:cstheme="majorBidi"/>
          <w:sz w:val="28"/>
          <w:szCs w:val="28"/>
        </w:rPr>
        <w:t xml:space="preserve"> (</w:t>
      </w:r>
      <w:r w:rsidRPr="00A445CE">
        <w:rPr>
          <w:rFonts w:asciiTheme="majorBidi" w:hAnsiTheme="majorBidi" w:cstheme="majorBidi"/>
          <w:sz w:val="28"/>
          <w:szCs w:val="28"/>
        </w:rPr>
        <w:t>de droit public</w:t>
      </w:r>
      <w:r>
        <w:rPr>
          <w:rFonts w:asciiTheme="majorBidi" w:hAnsiTheme="majorBidi" w:cstheme="majorBidi"/>
          <w:sz w:val="28"/>
          <w:szCs w:val="28"/>
        </w:rPr>
        <w:t>)</w:t>
      </w:r>
      <w:r w:rsidRPr="00A445CE">
        <w:rPr>
          <w:rFonts w:asciiTheme="majorBidi" w:hAnsiTheme="majorBidi" w:cstheme="majorBidi"/>
          <w:sz w:val="28"/>
          <w:szCs w:val="28"/>
        </w:rPr>
        <w:t>.</w:t>
      </w:r>
      <w:r>
        <w:rPr>
          <w:rFonts w:asciiTheme="majorBidi" w:hAnsiTheme="majorBidi" w:cstheme="majorBidi"/>
          <w:sz w:val="28"/>
          <w:szCs w:val="28"/>
        </w:rPr>
        <w:t xml:space="preserve"> Ses</w:t>
      </w:r>
      <w:r w:rsidRPr="00A445CE">
        <w:rPr>
          <w:rFonts w:asciiTheme="majorBidi" w:hAnsiTheme="majorBidi" w:cstheme="majorBidi"/>
          <w:sz w:val="28"/>
          <w:szCs w:val="28"/>
        </w:rPr>
        <w:t xml:space="preserve"> jugements </w:t>
      </w:r>
      <w:r>
        <w:rPr>
          <w:rFonts w:asciiTheme="majorBidi" w:hAnsiTheme="majorBidi" w:cstheme="majorBidi"/>
          <w:sz w:val="28"/>
          <w:szCs w:val="28"/>
        </w:rPr>
        <w:t xml:space="preserve">sont </w:t>
      </w:r>
      <w:r w:rsidRPr="00A445CE">
        <w:rPr>
          <w:rFonts w:asciiTheme="majorBidi" w:hAnsiTheme="majorBidi" w:cstheme="majorBidi"/>
          <w:sz w:val="28"/>
          <w:szCs w:val="28"/>
        </w:rPr>
        <w:t>susceptibles d</w:t>
      </w:r>
      <w:r>
        <w:rPr>
          <w:rFonts w:asciiTheme="majorBidi" w:hAnsiTheme="majorBidi" w:cstheme="majorBidi"/>
          <w:sz w:val="28"/>
          <w:szCs w:val="28"/>
        </w:rPr>
        <w:t>’appel devant le Conseil d’</w:t>
      </w:r>
      <w:r w:rsidR="00223399" w:rsidRPr="00C07ACE">
        <w:rPr>
          <w:rFonts w:asciiTheme="majorBidi" w:hAnsiTheme="majorBidi" w:cstheme="majorBidi"/>
          <w:sz w:val="28"/>
          <w:szCs w:val="28"/>
        </w:rPr>
        <w:t>É</w:t>
      </w:r>
      <w:r>
        <w:rPr>
          <w:rFonts w:asciiTheme="majorBidi" w:hAnsiTheme="majorBidi" w:cstheme="majorBidi"/>
          <w:sz w:val="28"/>
          <w:szCs w:val="28"/>
        </w:rPr>
        <w:t xml:space="preserve">tat. Ils sont au nombre de 48 sur l’ensemble de territoire nationale(Art.2 de </w:t>
      </w:r>
      <w:r w:rsidRPr="00A445CE">
        <w:rPr>
          <w:rFonts w:asciiTheme="majorBidi" w:hAnsiTheme="majorBidi" w:cstheme="majorBidi"/>
          <w:sz w:val="28"/>
          <w:szCs w:val="28"/>
        </w:rPr>
        <w:t>décret exécutif n°</w:t>
      </w:r>
      <w:r>
        <w:rPr>
          <w:rFonts w:asciiTheme="majorBidi" w:hAnsiTheme="majorBidi" w:cstheme="majorBidi"/>
          <w:sz w:val="28"/>
          <w:szCs w:val="28"/>
        </w:rPr>
        <w:t>.</w:t>
      </w:r>
      <w:r w:rsidRPr="00A445CE">
        <w:rPr>
          <w:rFonts w:asciiTheme="majorBidi" w:hAnsiTheme="majorBidi" w:cstheme="majorBidi"/>
          <w:sz w:val="28"/>
          <w:szCs w:val="28"/>
        </w:rPr>
        <w:t>11-195 du 22 mai 2011</w:t>
      </w:r>
      <w:r>
        <w:rPr>
          <w:rFonts w:asciiTheme="majorBidi" w:hAnsiTheme="majorBidi" w:cstheme="majorBidi"/>
          <w:sz w:val="28"/>
          <w:szCs w:val="28"/>
        </w:rPr>
        <w:t xml:space="preserve">). </w:t>
      </w:r>
    </w:p>
    <w:p w:rsidR="000A0B64" w:rsidRPr="00A445CE" w:rsidRDefault="000A0B64" w:rsidP="000A0B64">
      <w:pPr>
        <w:spacing w:line="240" w:lineRule="auto"/>
        <w:ind w:firstLine="567"/>
        <w:jc w:val="both"/>
        <w:rPr>
          <w:rFonts w:asciiTheme="majorBidi" w:hAnsiTheme="majorBidi" w:cstheme="majorBidi"/>
          <w:sz w:val="28"/>
          <w:szCs w:val="28"/>
        </w:rPr>
      </w:pPr>
      <w:r w:rsidRPr="00A445CE">
        <w:rPr>
          <w:rFonts w:asciiTheme="majorBidi" w:hAnsiTheme="majorBidi" w:cstheme="majorBidi"/>
          <w:sz w:val="28"/>
          <w:szCs w:val="28"/>
        </w:rPr>
        <w:t xml:space="preserve">Le tribunal administratif est compétent pour statuer sur </w:t>
      </w:r>
      <w:r w:rsidRPr="00EE0127">
        <w:rPr>
          <w:rFonts w:asciiTheme="majorBidi" w:hAnsiTheme="majorBidi" w:cstheme="majorBidi"/>
          <w:b/>
          <w:bCs/>
          <w:sz w:val="28"/>
          <w:szCs w:val="28"/>
        </w:rPr>
        <w:t>les recours en annulation, les recours en interprétation, les recours en appréciation</w:t>
      </w:r>
      <w:r w:rsidRPr="00A445CE">
        <w:rPr>
          <w:rFonts w:asciiTheme="majorBidi" w:hAnsiTheme="majorBidi" w:cstheme="majorBidi"/>
          <w:sz w:val="28"/>
          <w:szCs w:val="28"/>
        </w:rPr>
        <w:t xml:space="preserve"> de la légalité et </w:t>
      </w:r>
      <w:r w:rsidRPr="00EE0127">
        <w:rPr>
          <w:rFonts w:asciiTheme="majorBidi" w:hAnsiTheme="majorBidi" w:cstheme="majorBidi"/>
          <w:b/>
          <w:bCs/>
          <w:sz w:val="28"/>
          <w:szCs w:val="28"/>
        </w:rPr>
        <w:t>les recours de pleine juridiction</w:t>
      </w:r>
      <w:r>
        <w:rPr>
          <w:rFonts w:asciiTheme="majorBidi" w:hAnsiTheme="majorBidi" w:cstheme="majorBidi"/>
          <w:sz w:val="28"/>
          <w:szCs w:val="28"/>
        </w:rPr>
        <w:t xml:space="preserve">. </w:t>
      </w:r>
    </w:p>
    <w:p w:rsidR="000A0B64" w:rsidRPr="00B75040" w:rsidRDefault="000A0B64" w:rsidP="000A0B64">
      <w:pPr>
        <w:spacing w:after="0" w:line="240" w:lineRule="auto"/>
        <w:ind w:firstLine="567"/>
        <w:jc w:val="both"/>
        <w:rPr>
          <w:rFonts w:asciiTheme="majorBidi" w:hAnsiTheme="majorBidi" w:cstheme="majorBidi"/>
          <w:sz w:val="28"/>
          <w:szCs w:val="28"/>
        </w:rPr>
      </w:pPr>
      <w:r w:rsidRPr="00A445CE">
        <w:rPr>
          <w:rFonts w:asciiTheme="majorBidi" w:hAnsiTheme="majorBidi" w:cstheme="majorBidi"/>
          <w:sz w:val="28"/>
          <w:szCs w:val="28"/>
        </w:rPr>
        <w:t xml:space="preserve">Le </w:t>
      </w:r>
      <w:r w:rsidRPr="00B75040">
        <w:rPr>
          <w:rFonts w:asciiTheme="majorBidi" w:hAnsiTheme="majorBidi" w:cstheme="majorBidi"/>
          <w:sz w:val="28"/>
          <w:szCs w:val="28"/>
        </w:rPr>
        <w:t>tribunal administratif est constitué de trois magistrats au moins dont un président et deux assesseurs au rang de conseiller.</w:t>
      </w:r>
    </w:p>
    <w:p w:rsidR="000A0B64" w:rsidRPr="00B75040" w:rsidRDefault="000A0B64" w:rsidP="000A0B64">
      <w:pPr>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w:t>
      </w:r>
      <w:r w:rsidRPr="00B75040">
        <w:rPr>
          <w:rFonts w:asciiTheme="majorBidi" w:hAnsiTheme="majorBidi" w:cstheme="majorBidi"/>
          <w:color w:val="000000"/>
          <w:sz w:val="28"/>
          <w:szCs w:val="28"/>
        </w:rPr>
        <w:t> Chaque tribunal administratif est composé d’une à trois chambres.Chaque chambre peut être divisée en deux sections au moins ou en quatre au plus.</w:t>
      </w:r>
    </w:p>
    <w:p w:rsidR="000A0B64" w:rsidRPr="00410EFD" w:rsidRDefault="000A0B64" w:rsidP="000A0B64">
      <w:pPr>
        <w:spacing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-U</w:t>
      </w:r>
      <w:r w:rsidRPr="00B75040">
        <w:rPr>
          <w:rFonts w:asciiTheme="majorBidi" w:hAnsiTheme="majorBidi" w:cstheme="majorBidi"/>
          <w:color w:val="000000"/>
          <w:sz w:val="28"/>
          <w:szCs w:val="28"/>
        </w:rPr>
        <w:t>n greffe tenu par le greffier en chef, assisté de greffiers sous l’autorité et le contrôle du commissaire d’Etat et du prés</w:t>
      </w:r>
      <w:r>
        <w:rPr>
          <w:rFonts w:asciiTheme="majorBidi" w:hAnsiTheme="majorBidi" w:cstheme="majorBidi"/>
          <w:color w:val="000000"/>
          <w:sz w:val="28"/>
          <w:szCs w:val="28"/>
        </w:rPr>
        <w:t>ident du tribunal administratif</w:t>
      </w:r>
      <w:r w:rsidRPr="00A766E8">
        <w:rPr>
          <w:rFonts w:asciiTheme="majorBidi" w:hAnsiTheme="majorBidi" w:cstheme="majorBidi"/>
          <w:sz w:val="28"/>
          <w:szCs w:val="28"/>
          <w:vertAlign w:val="superscript"/>
        </w:rPr>
        <w:t xml:space="preserve"> (</w:t>
      </w:r>
      <w:r w:rsidRPr="00A766E8">
        <w:rPr>
          <w:rStyle w:val="Appelnotedebasdep"/>
          <w:rFonts w:asciiTheme="majorBidi" w:hAnsiTheme="majorBidi" w:cstheme="majorBidi"/>
          <w:sz w:val="28"/>
          <w:szCs w:val="28"/>
        </w:rPr>
        <w:footnoteReference w:id="2"/>
      </w:r>
      <w:r w:rsidRPr="00A766E8">
        <w:rPr>
          <w:rFonts w:asciiTheme="majorBidi" w:hAnsiTheme="majorBidi" w:cstheme="majorBidi"/>
          <w:sz w:val="28"/>
          <w:szCs w:val="28"/>
          <w:vertAlign w:val="superscript"/>
        </w:rPr>
        <w:t>)</w:t>
      </w:r>
      <w:r w:rsidRPr="00A445CE">
        <w:rPr>
          <w:rFonts w:asciiTheme="majorBidi" w:hAnsiTheme="majorBidi" w:cstheme="majorBidi"/>
          <w:sz w:val="28"/>
          <w:szCs w:val="28"/>
        </w:rPr>
        <w:t>.</w:t>
      </w:r>
    </w:p>
    <w:p w:rsidR="000A0B64" w:rsidRPr="003F5730" w:rsidRDefault="000A0B64" w:rsidP="000A0B64">
      <w:pPr>
        <w:pStyle w:val="Paragraphedeliste"/>
        <w:spacing w:after="0" w:line="240" w:lineRule="auto"/>
        <w:ind w:left="0"/>
        <w:jc w:val="both"/>
        <w:rPr>
          <w:rFonts w:asciiTheme="majorBidi" w:hAnsiTheme="majorBidi" w:cstheme="majorBidi"/>
          <w:sz w:val="28"/>
          <w:szCs w:val="28"/>
        </w:rPr>
      </w:pPr>
      <w:r>
        <w:rPr>
          <w:rFonts w:asciiTheme="majorBidi" w:hAnsiTheme="majorBidi" w:cstheme="majorBidi"/>
          <w:b/>
          <w:bCs/>
          <w:sz w:val="28"/>
          <w:szCs w:val="28"/>
        </w:rPr>
        <w:t xml:space="preserve">II- </w:t>
      </w:r>
      <w:r w:rsidRPr="00593B5B">
        <w:rPr>
          <w:rFonts w:asciiTheme="majorBidi" w:hAnsiTheme="majorBidi" w:cstheme="majorBidi"/>
          <w:b/>
          <w:bCs/>
          <w:sz w:val="28"/>
          <w:szCs w:val="28"/>
        </w:rPr>
        <w:t xml:space="preserve">Le </w:t>
      </w:r>
      <w:r>
        <w:rPr>
          <w:rFonts w:asciiTheme="majorBidi" w:hAnsiTheme="majorBidi" w:cstheme="majorBidi"/>
          <w:b/>
          <w:bCs/>
          <w:sz w:val="28"/>
          <w:szCs w:val="28"/>
        </w:rPr>
        <w:t>C</w:t>
      </w:r>
      <w:r w:rsidRPr="00593B5B">
        <w:rPr>
          <w:rFonts w:asciiTheme="majorBidi" w:hAnsiTheme="majorBidi" w:cstheme="majorBidi"/>
          <w:b/>
          <w:bCs/>
          <w:sz w:val="28"/>
          <w:szCs w:val="28"/>
        </w:rPr>
        <w:t>onseil d’État</w:t>
      </w:r>
      <w:r>
        <w:rPr>
          <w:rFonts w:asciiTheme="majorBidi" w:hAnsiTheme="majorBidi" w:cstheme="majorBidi"/>
          <w:b/>
          <w:bCs/>
          <w:sz w:val="28"/>
          <w:szCs w:val="28"/>
        </w:rPr>
        <w:t>:</w:t>
      </w:r>
      <w:r w:rsidRPr="00B75040">
        <w:rPr>
          <w:rFonts w:asciiTheme="majorBidi" w:hAnsiTheme="majorBidi" w:cstheme="majorBidi"/>
          <w:sz w:val="28"/>
          <w:szCs w:val="28"/>
        </w:rPr>
        <w:t xml:space="preserve"> est un organe régissant les activités des juridictions administratives, relevant de l’autorité judiciaire, garantissant </w:t>
      </w:r>
      <w:r w:rsidRPr="00D148D3">
        <w:rPr>
          <w:rFonts w:asciiTheme="majorBidi" w:hAnsiTheme="majorBidi" w:cstheme="majorBidi"/>
          <w:b/>
          <w:bCs/>
          <w:sz w:val="28"/>
          <w:szCs w:val="28"/>
        </w:rPr>
        <w:t>l’unification de la jurisprudence administrative</w:t>
      </w:r>
      <w:r w:rsidRPr="00B75040">
        <w:rPr>
          <w:rFonts w:asciiTheme="majorBidi" w:hAnsiTheme="majorBidi" w:cstheme="majorBidi"/>
          <w:sz w:val="28"/>
          <w:szCs w:val="28"/>
        </w:rPr>
        <w:t xml:space="preserve"> dans le pays e</w:t>
      </w:r>
      <w:r>
        <w:rPr>
          <w:rFonts w:asciiTheme="majorBidi" w:hAnsiTheme="majorBidi" w:cstheme="majorBidi"/>
          <w:sz w:val="28"/>
          <w:szCs w:val="28"/>
        </w:rPr>
        <w:t xml:space="preserve">t veillant au respect de la loi. Selon art. 179/2 de la </w:t>
      </w:r>
      <w:r w:rsidRPr="00A04F11">
        <w:rPr>
          <w:rFonts w:asciiTheme="majorBidi" w:hAnsiTheme="majorBidi" w:cstheme="majorBidi"/>
          <w:sz w:val="28"/>
          <w:szCs w:val="28"/>
        </w:rPr>
        <w:t>constitution « </w:t>
      </w:r>
      <w:r w:rsidRPr="00A04F11">
        <w:rPr>
          <w:rFonts w:asciiTheme="majorBidi" w:hAnsiTheme="majorBidi" w:cstheme="majorBidi"/>
          <w:i/>
          <w:iCs/>
          <w:sz w:val="28"/>
          <w:szCs w:val="28"/>
        </w:rPr>
        <w:t>Le Conseil d'Etat constitue l'organe régulateur de l'activité des tribunaux administratifs d’appel, des tribunaux administratifs et des autres organes statuant en matière administrative</w:t>
      </w:r>
      <w:r w:rsidRPr="00A04F11">
        <w:rPr>
          <w:rFonts w:asciiTheme="majorBidi" w:hAnsiTheme="majorBidi" w:cstheme="majorBidi"/>
          <w:sz w:val="28"/>
          <w:szCs w:val="28"/>
        </w:rPr>
        <w:t> ».</w:t>
      </w:r>
    </w:p>
    <w:p w:rsidR="000A0B64" w:rsidRDefault="000A0B64" w:rsidP="000A0B64">
      <w:pPr>
        <w:pStyle w:val="Paragraphedeliste"/>
        <w:spacing w:after="0" w:line="240" w:lineRule="auto"/>
        <w:ind w:left="0"/>
        <w:jc w:val="both"/>
        <w:rPr>
          <w:rFonts w:asciiTheme="majorBidi" w:hAnsiTheme="majorBidi" w:cstheme="majorBidi"/>
          <w:sz w:val="28"/>
          <w:szCs w:val="28"/>
        </w:rPr>
      </w:pPr>
    </w:p>
    <w:p w:rsidR="000A0B64" w:rsidRDefault="000A0B64" w:rsidP="000A0B64">
      <w:pPr>
        <w:pStyle w:val="Paragraphedeliste"/>
        <w:spacing w:after="0" w:line="240" w:lineRule="auto"/>
        <w:ind w:left="0" w:firstLine="567"/>
        <w:jc w:val="both"/>
        <w:rPr>
          <w:rFonts w:asciiTheme="majorBidi" w:hAnsiTheme="majorBidi" w:cstheme="majorBidi"/>
          <w:sz w:val="28"/>
          <w:szCs w:val="28"/>
        </w:rPr>
      </w:pPr>
      <w:r w:rsidRPr="00AA2E1F">
        <w:rPr>
          <w:rFonts w:asciiTheme="majorBidi" w:hAnsiTheme="majorBidi" w:cstheme="majorBidi"/>
          <w:sz w:val="28"/>
          <w:szCs w:val="28"/>
        </w:rPr>
        <w:t xml:space="preserve">Il statue en premier et dernier lieu sur les </w:t>
      </w:r>
      <w:r w:rsidRPr="00D148D3">
        <w:rPr>
          <w:rFonts w:asciiTheme="majorBidi" w:hAnsiTheme="majorBidi" w:cstheme="majorBidi"/>
          <w:b/>
          <w:bCs/>
          <w:sz w:val="28"/>
          <w:szCs w:val="28"/>
        </w:rPr>
        <w:t>recours en annulation, les recours en interprétation et les recours en appréciation</w:t>
      </w:r>
      <w:r w:rsidRPr="00AA2E1F">
        <w:rPr>
          <w:rFonts w:asciiTheme="majorBidi" w:hAnsiTheme="majorBidi" w:cstheme="majorBidi"/>
          <w:sz w:val="28"/>
          <w:szCs w:val="28"/>
        </w:rPr>
        <w:t xml:space="preserve"> de la légalité contre les décisions administratives rendues par les autorités administratives centrales et les instances publiques et les organisations professionnelles nationales. </w:t>
      </w:r>
      <w:r w:rsidRPr="00D148D3">
        <w:rPr>
          <w:rFonts w:asciiTheme="majorBidi" w:hAnsiTheme="majorBidi" w:cstheme="majorBidi"/>
          <w:sz w:val="28"/>
          <w:szCs w:val="28"/>
        </w:rPr>
        <w:t>De même qu’il statue sur les affaires qui lui sont confiées en vertu de lois spéciales.</w:t>
      </w:r>
    </w:p>
    <w:p w:rsidR="000A0B64" w:rsidRDefault="000A0B64" w:rsidP="000A0B64">
      <w:pPr>
        <w:pStyle w:val="Paragraphedeliste"/>
        <w:spacing w:before="240" w:after="0" w:line="240" w:lineRule="auto"/>
        <w:ind w:left="0" w:firstLine="567"/>
        <w:jc w:val="both"/>
        <w:rPr>
          <w:rFonts w:asciiTheme="majorBidi" w:hAnsiTheme="majorBidi" w:cstheme="majorBidi"/>
          <w:sz w:val="28"/>
          <w:szCs w:val="28"/>
        </w:rPr>
      </w:pPr>
    </w:p>
    <w:p w:rsidR="000A0B64" w:rsidRDefault="000A0B64" w:rsidP="000A0B64">
      <w:pPr>
        <w:pStyle w:val="Paragraphedeliste"/>
        <w:spacing w:after="0" w:line="240" w:lineRule="auto"/>
        <w:ind w:left="0" w:firstLine="567"/>
        <w:jc w:val="both"/>
        <w:rPr>
          <w:rFonts w:asciiTheme="majorBidi" w:hAnsiTheme="majorBidi" w:cstheme="majorBidi"/>
          <w:sz w:val="28"/>
          <w:szCs w:val="28"/>
        </w:rPr>
      </w:pPr>
      <w:r>
        <w:rPr>
          <w:rFonts w:asciiTheme="majorBidi" w:hAnsiTheme="majorBidi" w:cstheme="majorBidi"/>
          <w:sz w:val="28"/>
          <w:szCs w:val="28"/>
        </w:rPr>
        <w:t>Il</w:t>
      </w:r>
      <w:r w:rsidRPr="00AA2E1F">
        <w:rPr>
          <w:rFonts w:asciiTheme="majorBidi" w:hAnsiTheme="majorBidi" w:cstheme="majorBidi"/>
          <w:sz w:val="28"/>
          <w:szCs w:val="28"/>
        </w:rPr>
        <w:t xml:space="preserve"> est également compétent pour statuer sur les appels formés contre les </w:t>
      </w:r>
      <w:r w:rsidRPr="00D148D3">
        <w:rPr>
          <w:rFonts w:asciiTheme="majorBidi" w:hAnsiTheme="majorBidi" w:cstheme="majorBidi"/>
          <w:b/>
          <w:bCs/>
          <w:sz w:val="28"/>
          <w:szCs w:val="28"/>
        </w:rPr>
        <w:t>jugements et ordonnances</w:t>
      </w:r>
      <w:r w:rsidRPr="00AA2E1F">
        <w:rPr>
          <w:rFonts w:asciiTheme="majorBidi" w:hAnsiTheme="majorBidi" w:cstheme="majorBidi"/>
          <w:sz w:val="28"/>
          <w:szCs w:val="28"/>
        </w:rPr>
        <w:t xml:space="preserve"> rendus par les juridictions administratives, de même qu’il statue sur les </w:t>
      </w:r>
      <w:r w:rsidRPr="00D148D3">
        <w:rPr>
          <w:rFonts w:asciiTheme="majorBidi" w:hAnsiTheme="majorBidi" w:cstheme="majorBidi"/>
          <w:b/>
          <w:bCs/>
          <w:sz w:val="28"/>
          <w:szCs w:val="28"/>
        </w:rPr>
        <w:t>pourvois en cassation</w:t>
      </w:r>
      <w:r w:rsidRPr="00AA2E1F">
        <w:rPr>
          <w:rFonts w:asciiTheme="majorBidi" w:hAnsiTheme="majorBidi" w:cstheme="majorBidi"/>
          <w:sz w:val="28"/>
          <w:szCs w:val="28"/>
        </w:rPr>
        <w:t xml:space="preserve"> contre les sentences rendues en dernier ressort par les juridictions administratives.</w:t>
      </w:r>
    </w:p>
    <w:p w:rsidR="000A0B64" w:rsidRPr="00AA2E1F" w:rsidRDefault="000A0B64" w:rsidP="000A0B64">
      <w:pPr>
        <w:spacing w:before="240" w:line="240" w:lineRule="auto"/>
        <w:ind w:firstLine="567"/>
        <w:jc w:val="both"/>
        <w:rPr>
          <w:rFonts w:asciiTheme="majorBidi" w:hAnsiTheme="majorBidi" w:cstheme="majorBidi"/>
          <w:sz w:val="28"/>
          <w:szCs w:val="28"/>
        </w:rPr>
      </w:pPr>
      <w:r w:rsidRPr="00AA2E1F">
        <w:rPr>
          <w:rFonts w:asciiTheme="majorBidi" w:hAnsiTheme="majorBidi" w:cstheme="majorBidi"/>
          <w:sz w:val="28"/>
          <w:szCs w:val="28"/>
        </w:rPr>
        <w:lastRenderedPageBreak/>
        <w:t xml:space="preserve">Le </w:t>
      </w:r>
      <w:r>
        <w:rPr>
          <w:rFonts w:asciiTheme="majorBidi" w:hAnsiTheme="majorBidi" w:cstheme="majorBidi"/>
          <w:b/>
          <w:bCs/>
          <w:sz w:val="28"/>
          <w:szCs w:val="28"/>
        </w:rPr>
        <w:t>C</w:t>
      </w:r>
      <w:r w:rsidRPr="00AA2E1F">
        <w:rPr>
          <w:rFonts w:asciiTheme="majorBidi" w:hAnsiTheme="majorBidi" w:cstheme="majorBidi"/>
          <w:b/>
          <w:bCs/>
          <w:sz w:val="28"/>
          <w:szCs w:val="28"/>
        </w:rPr>
        <w:t>onseil d’État</w:t>
      </w:r>
      <w:r w:rsidRPr="00AA2E1F">
        <w:rPr>
          <w:rFonts w:asciiTheme="majorBidi" w:hAnsiTheme="majorBidi" w:cstheme="majorBidi"/>
          <w:sz w:val="28"/>
          <w:szCs w:val="28"/>
        </w:rPr>
        <w:t xml:space="preserve"> a Compétences à </w:t>
      </w:r>
      <w:r w:rsidRPr="00AA2E1F">
        <w:rPr>
          <w:rFonts w:asciiTheme="majorBidi" w:hAnsiTheme="majorBidi" w:cstheme="majorBidi"/>
          <w:b/>
          <w:bCs/>
          <w:sz w:val="28"/>
          <w:szCs w:val="28"/>
        </w:rPr>
        <w:t>caractères consultatif</w:t>
      </w:r>
      <w:r w:rsidRPr="00AA2E1F">
        <w:rPr>
          <w:rFonts w:asciiTheme="majorBidi" w:hAnsiTheme="majorBidi" w:cstheme="majorBidi"/>
          <w:sz w:val="28"/>
          <w:szCs w:val="28"/>
        </w:rPr>
        <w:t xml:space="preserve"> : il donne son avis sur les </w:t>
      </w:r>
      <w:r w:rsidRPr="00AA2E1F">
        <w:rPr>
          <w:rFonts w:asciiTheme="majorBidi" w:hAnsiTheme="majorBidi" w:cstheme="majorBidi"/>
          <w:b/>
          <w:bCs/>
          <w:sz w:val="28"/>
          <w:szCs w:val="28"/>
        </w:rPr>
        <w:t>projets de loi</w:t>
      </w:r>
      <w:r w:rsidRPr="00AA2E1F">
        <w:rPr>
          <w:rFonts w:asciiTheme="majorBidi" w:hAnsiTheme="majorBidi" w:cstheme="majorBidi"/>
          <w:sz w:val="28"/>
          <w:szCs w:val="28"/>
        </w:rPr>
        <w:t xml:space="preserve"> qui lui sont soumis et propose les modifications qu’il voit nécessaires.</w:t>
      </w:r>
    </w:p>
    <w:p w:rsidR="000A0B64" w:rsidRDefault="000A0B64" w:rsidP="000A0B64">
      <w:pPr>
        <w:spacing w:after="0" w:line="240" w:lineRule="auto"/>
        <w:ind w:firstLine="567"/>
        <w:jc w:val="both"/>
        <w:rPr>
          <w:rFonts w:asciiTheme="majorBidi" w:hAnsiTheme="majorBidi" w:cstheme="majorBidi"/>
          <w:sz w:val="28"/>
          <w:szCs w:val="28"/>
        </w:rPr>
      </w:pPr>
      <w:r w:rsidRPr="00D148D3">
        <w:rPr>
          <w:rFonts w:asciiTheme="majorBidi" w:hAnsiTheme="majorBidi" w:cstheme="majorBidi"/>
          <w:b/>
          <w:bCs/>
          <w:sz w:val="28"/>
          <w:szCs w:val="28"/>
        </w:rPr>
        <w:t>Le Conseil d’État se compose de:</w:t>
      </w:r>
      <w:r w:rsidRPr="00AA2E1F">
        <w:rPr>
          <w:rFonts w:asciiTheme="majorBidi" w:hAnsiTheme="majorBidi" w:cstheme="majorBidi"/>
          <w:sz w:val="28"/>
          <w:szCs w:val="28"/>
        </w:rPr>
        <w:t xml:space="preserve"> le président du Conseil d’Etat</w:t>
      </w:r>
      <w:r>
        <w:rPr>
          <w:rFonts w:asciiTheme="majorBidi" w:hAnsiTheme="majorBidi" w:cstheme="majorBidi"/>
          <w:sz w:val="28"/>
          <w:szCs w:val="28"/>
        </w:rPr>
        <w:t>,</w:t>
      </w:r>
      <w:r w:rsidRPr="00AA2E1F">
        <w:rPr>
          <w:rFonts w:asciiTheme="majorBidi" w:hAnsiTheme="majorBidi" w:cstheme="majorBidi"/>
          <w:sz w:val="28"/>
          <w:szCs w:val="28"/>
        </w:rPr>
        <w:t xml:space="preserve"> le vice-président</w:t>
      </w:r>
      <w:r>
        <w:rPr>
          <w:rFonts w:asciiTheme="majorBidi" w:hAnsiTheme="majorBidi" w:cstheme="majorBidi"/>
          <w:sz w:val="28"/>
          <w:szCs w:val="28"/>
        </w:rPr>
        <w:t>,</w:t>
      </w:r>
      <w:r w:rsidRPr="00AA2E1F">
        <w:rPr>
          <w:rFonts w:asciiTheme="majorBidi" w:hAnsiTheme="majorBidi" w:cstheme="majorBidi"/>
          <w:sz w:val="28"/>
          <w:szCs w:val="28"/>
        </w:rPr>
        <w:t xml:space="preserve"> les présidents de chambres</w:t>
      </w:r>
      <w:r>
        <w:rPr>
          <w:rFonts w:asciiTheme="majorBidi" w:hAnsiTheme="majorBidi" w:cstheme="majorBidi"/>
          <w:sz w:val="28"/>
          <w:szCs w:val="28"/>
        </w:rPr>
        <w:t>,</w:t>
      </w:r>
      <w:r w:rsidRPr="00AA2E1F">
        <w:rPr>
          <w:rFonts w:asciiTheme="majorBidi" w:hAnsiTheme="majorBidi" w:cstheme="majorBidi"/>
          <w:sz w:val="28"/>
          <w:szCs w:val="28"/>
        </w:rPr>
        <w:t xml:space="preserve"> les présidents de sections</w:t>
      </w:r>
      <w:r>
        <w:rPr>
          <w:rFonts w:asciiTheme="majorBidi" w:hAnsiTheme="majorBidi" w:cstheme="majorBidi"/>
          <w:sz w:val="28"/>
          <w:szCs w:val="28"/>
        </w:rPr>
        <w:t>,</w:t>
      </w:r>
      <w:r w:rsidRPr="00AA2E1F">
        <w:rPr>
          <w:rFonts w:asciiTheme="majorBidi" w:hAnsiTheme="majorBidi" w:cstheme="majorBidi"/>
          <w:sz w:val="28"/>
          <w:szCs w:val="28"/>
        </w:rPr>
        <w:t xml:space="preserve"> les conseillers d’Etat</w:t>
      </w:r>
      <w:r>
        <w:rPr>
          <w:rFonts w:asciiTheme="majorBidi" w:hAnsiTheme="majorBidi" w:cstheme="majorBidi"/>
          <w:sz w:val="28"/>
          <w:szCs w:val="28"/>
        </w:rPr>
        <w:t xml:space="preserve">, </w:t>
      </w:r>
      <w:r w:rsidRPr="00AA2E1F">
        <w:rPr>
          <w:rFonts w:asciiTheme="majorBidi" w:hAnsiTheme="majorBidi" w:cstheme="majorBidi"/>
          <w:sz w:val="28"/>
          <w:szCs w:val="28"/>
        </w:rPr>
        <w:t>Le commissaire d’Etat</w:t>
      </w:r>
      <w:r>
        <w:rPr>
          <w:rFonts w:asciiTheme="majorBidi" w:hAnsiTheme="majorBidi" w:cstheme="majorBidi"/>
          <w:sz w:val="28"/>
          <w:szCs w:val="28"/>
        </w:rPr>
        <w:t>,</w:t>
      </w:r>
      <w:r w:rsidRPr="00AA2E1F">
        <w:rPr>
          <w:rFonts w:asciiTheme="majorBidi" w:hAnsiTheme="majorBidi" w:cstheme="majorBidi"/>
          <w:sz w:val="28"/>
          <w:szCs w:val="28"/>
        </w:rPr>
        <w:t xml:space="preserve"> les commissaires d’Etat adjoints.</w:t>
      </w:r>
    </w:p>
    <w:p w:rsidR="000A0B64" w:rsidRPr="00AA2E1F" w:rsidRDefault="000A0B64" w:rsidP="000A0B64">
      <w:pPr>
        <w:spacing w:before="240" w:after="0" w:line="240" w:lineRule="auto"/>
        <w:ind w:firstLine="567"/>
        <w:jc w:val="both"/>
        <w:rPr>
          <w:rFonts w:asciiTheme="majorBidi" w:hAnsiTheme="majorBidi" w:cstheme="majorBidi"/>
          <w:sz w:val="28"/>
          <w:szCs w:val="28"/>
        </w:rPr>
      </w:pPr>
      <w:r w:rsidRPr="00AA2E1F">
        <w:rPr>
          <w:rFonts w:asciiTheme="majorBidi" w:hAnsiTheme="majorBidi" w:cstheme="majorBidi"/>
          <w:sz w:val="28"/>
          <w:szCs w:val="28"/>
        </w:rPr>
        <w:t>Il tient ses audiences sous forme de chambres et de sections pour statuer dans les affaires qui lui sont soumises, il statue en présence de 3 membres au minimum.</w:t>
      </w:r>
    </w:p>
    <w:p w:rsidR="000A0B64" w:rsidRPr="00AA2E1F" w:rsidRDefault="000A0B64" w:rsidP="00897A50">
      <w:pPr>
        <w:spacing w:before="240" w:line="240" w:lineRule="auto"/>
        <w:ind w:firstLine="567"/>
        <w:jc w:val="both"/>
        <w:rPr>
          <w:rFonts w:asciiTheme="majorBidi" w:hAnsiTheme="majorBidi" w:cstheme="majorBidi"/>
          <w:b/>
          <w:bCs/>
          <w:sz w:val="28"/>
          <w:szCs w:val="28"/>
        </w:rPr>
      </w:pPr>
      <w:r w:rsidRPr="00175A2A">
        <w:rPr>
          <w:rFonts w:asciiTheme="majorBidi" w:hAnsiTheme="majorBidi" w:cstheme="majorBidi"/>
          <w:b/>
          <w:bCs/>
          <w:sz w:val="28"/>
          <w:szCs w:val="28"/>
        </w:rPr>
        <w:t xml:space="preserve">Le cadre juridique </w:t>
      </w:r>
      <w:r>
        <w:rPr>
          <w:rFonts w:asciiTheme="majorBidi" w:hAnsiTheme="majorBidi" w:cstheme="majorBidi"/>
          <w:b/>
          <w:bCs/>
          <w:sz w:val="28"/>
          <w:szCs w:val="28"/>
        </w:rPr>
        <w:t>de C</w:t>
      </w:r>
      <w:r w:rsidRPr="00175A2A">
        <w:rPr>
          <w:rFonts w:asciiTheme="majorBidi" w:hAnsiTheme="majorBidi" w:cstheme="majorBidi"/>
          <w:b/>
          <w:bCs/>
          <w:sz w:val="28"/>
          <w:szCs w:val="28"/>
        </w:rPr>
        <w:t>onseil d’État</w:t>
      </w:r>
      <w:r w:rsidRPr="00AA2E1F">
        <w:rPr>
          <w:rFonts w:asciiTheme="majorBidi" w:hAnsiTheme="majorBidi" w:cstheme="majorBidi"/>
          <w:sz w:val="28"/>
          <w:szCs w:val="28"/>
        </w:rPr>
        <w:t>: est la loi organique n°</w:t>
      </w:r>
      <w:r>
        <w:rPr>
          <w:rFonts w:asciiTheme="majorBidi" w:hAnsiTheme="majorBidi" w:cstheme="majorBidi"/>
          <w:sz w:val="28"/>
          <w:szCs w:val="28"/>
        </w:rPr>
        <w:t>.</w:t>
      </w:r>
      <w:r w:rsidRPr="00AA2E1F">
        <w:rPr>
          <w:rFonts w:asciiTheme="majorBidi" w:hAnsiTheme="majorBidi" w:cstheme="majorBidi"/>
          <w:sz w:val="28"/>
          <w:szCs w:val="28"/>
        </w:rPr>
        <w:t>11/13 du 26 Juillet 2011 modifiant et complétant la loi organique n°</w:t>
      </w:r>
      <w:r>
        <w:rPr>
          <w:rFonts w:asciiTheme="majorBidi" w:hAnsiTheme="majorBidi" w:cstheme="majorBidi"/>
          <w:sz w:val="28"/>
          <w:szCs w:val="28"/>
        </w:rPr>
        <w:t>.</w:t>
      </w:r>
      <w:r w:rsidRPr="00AA2E1F">
        <w:rPr>
          <w:rFonts w:asciiTheme="majorBidi" w:hAnsiTheme="majorBidi" w:cstheme="majorBidi"/>
          <w:sz w:val="28"/>
          <w:szCs w:val="28"/>
        </w:rPr>
        <w:t>98/01 du 30 mai 1998 relative aux compétences, à l’organisation et au fonctionnement du Conseil d’</w:t>
      </w:r>
      <w:r w:rsidR="00897A50" w:rsidRPr="00C07ACE">
        <w:rPr>
          <w:rFonts w:asciiTheme="majorBidi" w:hAnsiTheme="majorBidi" w:cstheme="majorBidi"/>
          <w:sz w:val="28"/>
          <w:szCs w:val="28"/>
        </w:rPr>
        <w:t>É</w:t>
      </w:r>
      <w:r w:rsidRPr="00AA2E1F">
        <w:rPr>
          <w:rFonts w:asciiTheme="majorBidi" w:hAnsiTheme="majorBidi" w:cstheme="majorBidi"/>
          <w:sz w:val="28"/>
          <w:szCs w:val="28"/>
        </w:rPr>
        <w:t>tat</w:t>
      </w:r>
      <w:r w:rsidRPr="00A766E8">
        <w:rPr>
          <w:rFonts w:asciiTheme="majorBidi" w:hAnsiTheme="majorBidi" w:cstheme="majorBidi"/>
          <w:sz w:val="28"/>
          <w:szCs w:val="28"/>
          <w:vertAlign w:val="superscript"/>
        </w:rPr>
        <w:t>(</w:t>
      </w:r>
      <w:r w:rsidRPr="00A766E8">
        <w:rPr>
          <w:rStyle w:val="Appelnotedebasdep"/>
          <w:rFonts w:asciiTheme="majorBidi" w:hAnsiTheme="majorBidi" w:cstheme="majorBidi"/>
          <w:sz w:val="28"/>
          <w:szCs w:val="28"/>
        </w:rPr>
        <w:footnoteReference w:id="3"/>
      </w:r>
      <w:r w:rsidRPr="00A766E8">
        <w:rPr>
          <w:rFonts w:asciiTheme="majorBidi" w:hAnsiTheme="majorBidi" w:cstheme="majorBidi"/>
          <w:sz w:val="28"/>
          <w:szCs w:val="28"/>
          <w:vertAlign w:val="superscript"/>
        </w:rPr>
        <w:t>)</w:t>
      </w:r>
      <w:r w:rsidRPr="00AA2E1F">
        <w:rPr>
          <w:rFonts w:asciiTheme="majorBidi" w:hAnsiTheme="majorBidi" w:cstheme="majorBidi"/>
          <w:sz w:val="28"/>
          <w:szCs w:val="28"/>
        </w:rPr>
        <w:t>.</w:t>
      </w:r>
    </w:p>
    <w:p w:rsidR="000A0B64" w:rsidRPr="00175A2A" w:rsidRDefault="000A0B64" w:rsidP="000A0B64">
      <w:pPr>
        <w:jc w:val="both"/>
        <w:rPr>
          <w:lang w:eastAsia="fr-FR"/>
        </w:rPr>
      </w:pPr>
      <w:r w:rsidRPr="00477B3F">
        <w:rPr>
          <w:rFonts w:asciiTheme="majorBidi" w:hAnsiTheme="majorBidi" w:cstheme="majorBidi"/>
          <w:b/>
          <w:bCs/>
          <w:sz w:val="28"/>
          <w:szCs w:val="28"/>
        </w:rPr>
        <w:t>I</w:t>
      </w:r>
      <w:r>
        <w:rPr>
          <w:rFonts w:asciiTheme="majorBidi" w:hAnsiTheme="majorBidi" w:cstheme="majorBidi"/>
          <w:b/>
          <w:bCs/>
          <w:sz w:val="28"/>
          <w:szCs w:val="28"/>
        </w:rPr>
        <w:t>II</w:t>
      </w:r>
      <w:r w:rsidRPr="00477B3F">
        <w:rPr>
          <w:rFonts w:asciiTheme="majorBidi" w:hAnsiTheme="majorBidi" w:cstheme="majorBidi"/>
          <w:b/>
          <w:bCs/>
          <w:sz w:val="28"/>
          <w:szCs w:val="28"/>
        </w:rPr>
        <w:t>- Tribunal des conflits</w:t>
      </w:r>
      <w:r w:rsidRPr="00175A2A">
        <w:rPr>
          <w:rFonts w:asciiTheme="majorBidi" w:hAnsiTheme="majorBidi" w:cstheme="majorBidi"/>
          <w:b/>
          <w:bCs/>
          <w:sz w:val="28"/>
          <w:szCs w:val="28"/>
        </w:rPr>
        <w:t xml:space="preserve">: </w:t>
      </w:r>
      <w:r w:rsidRPr="00175A2A">
        <w:rPr>
          <w:rFonts w:asciiTheme="majorBidi" w:hAnsiTheme="majorBidi" w:cstheme="majorBidi"/>
          <w:sz w:val="28"/>
          <w:szCs w:val="28"/>
          <w:lang w:eastAsia="fr-FR"/>
        </w:rPr>
        <w:t>est situé au siège de la Cour suprême. Il est formé de sept magistrats dont le président.</w:t>
      </w:r>
    </w:p>
    <w:p w:rsidR="000A0B64" w:rsidRDefault="000A0B64" w:rsidP="00897A50">
      <w:pPr>
        <w:spacing w:line="240" w:lineRule="auto"/>
        <w:ind w:firstLine="567"/>
        <w:jc w:val="both"/>
        <w:rPr>
          <w:lang w:eastAsia="fr-FR"/>
        </w:rPr>
      </w:pPr>
      <w:r w:rsidRPr="00175A2A">
        <w:rPr>
          <w:rFonts w:asciiTheme="majorBidi" w:hAnsiTheme="majorBidi" w:cstheme="majorBidi"/>
          <w:sz w:val="28"/>
          <w:szCs w:val="28"/>
          <w:lang w:eastAsia="fr-FR"/>
        </w:rPr>
        <w:t xml:space="preserve">Le président du tribunal des conflits est nommé pour une durée de trois ans par </w:t>
      </w:r>
      <w:r w:rsidRPr="00602FB7">
        <w:rPr>
          <w:rFonts w:asciiTheme="majorBidi" w:hAnsiTheme="majorBidi" w:cstheme="majorBidi"/>
          <w:b/>
          <w:bCs/>
          <w:sz w:val="28"/>
          <w:szCs w:val="28"/>
          <w:lang w:eastAsia="fr-FR"/>
        </w:rPr>
        <w:t>intérim</w:t>
      </w:r>
      <w:r w:rsidRPr="00175A2A">
        <w:rPr>
          <w:rFonts w:asciiTheme="majorBidi" w:hAnsiTheme="majorBidi" w:cstheme="majorBidi"/>
          <w:sz w:val="28"/>
          <w:szCs w:val="28"/>
          <w:lang w:eastAsia="fr-FR"/>
        </w:rPr>
        <w:t xml:space="preserve"> sur proposition du ministre de la Justice après avis conforme du conseil supérieur de la magistrature, il désigne la moitié du nombre des magistrats du tribunal des conflits parmi les magistrats de la Cour suprême et l’autre moitié parmi les juges du Conseil d’</w:t>
      </w:r>
      <w:r w:rsidR="00897A50" w:rsidRPr="00C07ACE">
        <w:rPr>
          <w:rFonts w:asciiTheme="majorBidi" w:hAnsiTheme="majorBidi" w:cstheme="majorBidi"/>
          <w:sz w:val="28"/>
          <w:szCs w:val="28"/>
        </w:rPr>
        <w:t>É</w:t>
      </w:r>
      <w:r w:rsidRPr="00175A2A">
        <w:rPr>
          <w:rFonts w:asciiTheme="majorBidi" w:hAnsiTheme="majorBidi" w:cstheme="majorBidi"/>
          <w:sz w:val="28"/>
          <w:szCs w:val="28"/>
          <w:lang w:eastAsia="fr-FR"/>
        </w:rPr>
        <w:t>tat par le Président de la République sur proposition du ministre de la Justice, garde des Sceaux.</w:t>
      </w:r>
      <w:bookmarkStart w:id="0" w:name="_GoBack"/>
      <w:bookmarkEnd w:id="0"/>
    </w:p>
    <w:p w:rsidR="000A0B64" w:rsidRDefault="000A0B64" w:rsidP="000A0B64">
      <w:pPr>
        <w:spacing w:line="240" w:lineRule="auto"/>
        <w:ind w:firstLine="567"/>
        <w:jc w:val="both"/>
        <w:rPr>
          <w:rFonts w:asciiTheme="majorBidi" w:hAnsiTheme="majorBidi" w:cstheme="majorBidi"/>
          <w:sz w:val="28"/>
          <w:szCs w:val="28"/>
          <w:lang w:eastAsia="fr-FR"/>
        </w:rPr>
      </w:pPr>
      <w:r>
        <w:rPr>
          <w:rFonts w:asciiTheme="majorBidi" w:hAnsiTheme="majorBidi" w:cstheme="majorBidi"/>
          <w:b/>
          <w:bCs/>
          <w:sz w:val="28"/>
          <w:szCs w:val="28"/>
          <w:lang w:eastAsia="fr-FR"/>
        </w:rPr>
        <w:t xml:space="preserve">Il est </w:t>
      </w:r>
      <w:r w:rsidRPr="00677D91">
        <w:rPr>
          <w:rFonts w:asciiTheme="majorBidi" w:hAnsiTheme="majorBidi" w:cstheme="majorBidi"/>
          <w:b/>
          <w:bCs/>
          <w:sz w:val="28"/>
          <w:szCs w:val="28"/>
          <w:lang w:eastAsia="fr-FR"/>
        </w:rPr>
        <w:t>compéten</w:t>
      </w:r>
      <w:r>
        <w:rPr>
          <w:rFonts w:asciiTheme="majorBidi" w:hAnsiTheme="majorBidi" w:cstheme="majorBidi"/>
          <w:b/>
          <w:bCs/>
          <w:sz w:val="28"/>
          <w:szCs w:val="28"/>
          <w:lang w:eastAsia="fr-FR"/>
        </w:rPr>
        <w:t>t</w:t>
      </w:r>
      <w:r w:rsidRPr="00175A2A">
        <w:rPr>
          <w:rFonts w:asciiTheme="majorBidi" w:hAnsiTheme="majorBidi" w:cstheme="majorBidi"/>
          <w:sz w:val="28"/>
          <w:szCs w:val="28"/>
          <w:lang w:eastAsia="fr-FR"/>
        </w:rPr>
        <w:t xml:space="preserve">de statue sur les conflits de compétence entre les juridictions relevant de l’ordre judiciaire ordinaire et les juridictions relevant de l’ordre </w:t>
      </w:r>
      <w:r w:rsidRPr="003F5730">
        <w:rPr>
          <w:rFonts w:asciiTheme="majorBidi" w:hAnsiTheme="majorBidi" w:cstheme="majorBidi"/>
          <w:sz w:val="28"/>
          <w:szCs w:val="28"/>
          <w:lang w:eastAsia="fr-FR"/>
        </w:rPr>
        <w:t>judiciaire administratif</w:t>
      </w:r>
      <w:r>
        <w:rPr>
          <w:rFonts w:asciiTheme="majorBidi" w:hAnsiTheme="majorBidi" w:cstheme="majorBidi"/>
          <w:sz w:val="28"/>
          <w:szCs w:val="28"/>
        </w:rPr>
        <w:t xml:space="preserve">(Art.3 de </w:t>
      </w:r>
      <w:r w:rsidRPr="00677D91">
        <w:rPr>
          <w:rFonts w:asciiTheme="majorBidi" w:hAnsiTheme="majorBidi" w:cstheme="majorBidi"/>
          <w:sz w:val="28"/>
          <w:szCs w:val="28"/>
          <w:lang w:eastAsia="fr-FR"/>
        </w:rPr>
        <w:t>la loi organique n°</w:t>
      </w:r>
      <w:r>
        <w:rPr>
          <w:rFonts w:asciiTheme="majorBidi" w:hAnsiTheme="majorBidi" w:cstheme="majorBidi"/>
          <w:sz w:val="28"/>
          <w:szCs w:val="28"/>
          <w:lang w:eastAsia="fr-FR"/>
        </w:rPr>
        <w:t>.</w:t>
      </w:r>
      <w:r w:rsidRPr="00677D91">
        <w:rPr>
          <w:rFonts w:asciiTheme="majorBidi" w:hAnsiTheme="majorBidi" w:cstheme="majorBidi"/>
          <w:sz w:val="28"/>
          <w:szCs w:val="28"/>
          <w:lang w:eastAsia="fr-FR"/>
        </w:rPr>
        <w:t>98-03du 3 juin 1998 relative aux attributions, à l’organisation et au fonctionnement du tribunal des conflits</w:t>
      </w:r>
      <w:r>
        <w:rPr>
          <w:rFonts w:asciiTheme="majorBidi" w:hAnsiTheme="majorBidi" w:cstheme="majorBidi"/>
          <w:sz w:val="28"/>
          <w:szCs w:val="28"/>
          <w:lang w:eastAsia="fr-FR"/>
        </w:rPr>
        <w:t>).</w:t>
      </w:r>
      <w:r w:rsidRPr="003F5730">
        <w:rPr>
          <w:rFonts w:asciiTheme="majorBidi" w:hAnsiTheme="majorBidi" w:cstheme="majorBidi"/>
          <w:sz w:val="28"/>
          <w:szCs w:val="28"/>
        </w:rPr>
        <w:t>L’art. 179/4 de la constitution stipule « </w:t>
      </w:r>
      <w:r>
        <w:rPr>
          <w:rFonts w:asciiTheme="majorBidi" w:hAnsiTheme="majorBidi" w:cstheme="majorBidi"/>
          <w:i/>
          <w:iCs/>
          <w:sz w:val="28"/>
          <w:szCs w:val="28"/>
        </w:rPr>
        <w:t>l</w:t>
      </w:r>
      <w:r w:rsidRPr="003F5730">
        <w:rPr>
          <w:rFonts w:asciiTheme="majorBidi" w:hAnsiTheme="majorBidi" w:cstheme="majorBidi"/>
          <w:i/>
          <w:iCs/>
          <w:sz w:val="28"/>
          <w:szCs w:val="28"/>
        </w:rPr>
        <w:t>e tribunal des conflits règle les conflits de compétence entre les juridictions de l'ordre judiciaire et les juridictions de l'ordre administratif </w:t>
      </w:r>
      <w:r w:rsidRPr="003F5730">
        <w:rPr>
          <w:rFonts w:asciiTheme="majorBidi" w:hAnsiTheme="majorBidi" w:cstheme="majorBidi"/>
          <w:sz w:val="28"/>
          <w:szCs w:val="28"/>
        </w:rPr>
        <w:t>».</w:t>
      </w:r>
      <w:r>
        <w:rPr>
          <w:rFonts w:asciiTheme="majorBidi" w:hAnsiTheme="majorBidi" w:cstheme="majorBidi"/>
          <w:sz w:val="28"/>
          <w:szCs w:val="28"/>
          <w:lang w:eastAsia="fr-FR"/>
        </w:rPr>
        <w:t>Il</w:t>
      </w:r>
      <w:r w:rsidRPr="00677D91">
        <w:rPr>
          <w:rFonts w:asciiTheme="majorBidi" w:hAnsiTheme="majorBidi" w:cstheme="majorBidi"/>
          <w:sz w:val="28"/>
          <w:szCs w:val="28"/>
          <w:lang w:eastAsia="fr-FR"/>
        </w:rPr>
        <w:t xml:space="preserve"> statue sur les actions formées devant lui dans un délai maximum de six mois à compter de la date d’inscription.</w:t>
      </w:r>
      <w:r>
        <w:rPr>
          <w:rFonts w:asciiTheme="majorBidi" w:hAnsiTheme="majorBidi" w:cstheme="majorBidi"/>
          <w:sz w:val="28"/>
          <w:szCs w:val="28"/>
          <w:lang w:eastAsia="fr-FR"/>
        </w:rPr>
        <w:t>Ces</w:t>
      </w:r>
      <w:r w:rsidRPr="00677D91">
        <w:rPr>
          <w:rFonts w:asciiTheme="majorBidi" w:hAnsiTheme="majorBidi" w:cstheme="majorBidi"/>
          <w:sz w:val="28"/>
          <w:szCs w:val="28"/>
          <w:lang w:eastAsia="fr-FR"/>
        </w:rPr>
        <w:t xml:space="preserve"> décisions sont prises à la majorité des voix. En cas de partage égal des voix, celle du président est prépondérante</w:t>
      </w:r>
      <w:r w:rsidRPr="00A766E8">
        <w:rPr>
          <w:rFonts w:asciiTheme="majorBidi" w:hAnsiTheme="majorBidi" w:cstheme="majorBidi"/>
          <w:sz w:val="28"/>
          <w:szCs w:val="28"/>
          <w:vertAlign w:val="superscript"/>
          <w:lang w:eastAsia="fr-FR"/>
        </w:rPr>
        <w:t>(</w:t>
      </w:r>
      <w:r w:rsidRPr="00A766E8">
        <w:rPr>
          <w:rStyle w:val="Appelnotedebasdep"/>
          <w:rFonts w:asciiTheme="majorBidi" w:hAnsiTheme="majorBidi" w:cstheme="majorBidi"/>
          <w:sz w:val="28"/>
          <w:szCs w:val="28"/>
          <w:lang w:eastAsia="fr-FR"/>
        </w:rPr>
        <w:footnoteReference w:id="4"/>
      </w:r>
      <w:r w:rsidRPr="00A766E8">
        <w:rPr>
          <w:rFonts w:asciiTheme="majorBidi" w:hAnsiTheme="majorBidi" w:cstheme="majorBidi"/>
          <w:sz w:val="28"/>
          <w:szCs w:val="28"/>
          <w:vertAlign w:val="superscript"/>
          <w:lang w:eastAsia="fr-FR"/>
        </w:rPr>
        <w:t>)</w:t>
      </w:r>
      <w:r w:rsidRPr="00677D91">
        <w:rPr>
          <w:rFonts w:asciiTheme="majorBidi" w:hAnsiTheme="majorBidi" w:cstheme="majorBidi"/>
          <w:sz w:val="28"/>
          <w:szCs w:val="28"/>
          <w:lang w:eastAsia="fr-FR"/>
        </w:rPr>
        <w:t>.</w:t>
      </w:r>
      <w:r>
        <w:rPr>
          <w:rFonts w:asciiTheme="majorBidi" w:hAnsiTheme="majorBidi" w:cstheme="majorBidi"/>
          <w:sz w:val="28"/>
          <w:szCs w:val="28"/>
          <w:lang w:eastAsia="fr-FR"/>
        </w:rPr>
        <w:t xml:space="preserve"> Les</w:t>
      </w:r>
      <w:r w:rsidRPr="00677D91">
        <w:rPr>
          <w:rFonts w:asciiTheme="majorBidi" w:hAnsiTheme="majorBidi" w:cstheme="majorBidi"/>
          <w:sz w:val="28"/>
          <w:szCs w:val="28"/>
          <w:lang w:eastAsia="fr-FR"/>
        </w:rPr>
        <w:t xml:space="preserve"> décisions du tribunal des conflits sont </w:t>
      </w:r>
      <w:r>
        <w:rPr>
          <w:rFonts w:asciiTheme="majorBidi" w:hAnsiTheme="majorBidi" w:cstheme="majorBidi"/>
          <w:sz w:val="28"/>
          <w:szCs w:val="28"/>
          <w:lang w:eastAsia="fr-FR"/>
        </w:rPr>
        <w:t xml:space="preserve">des </w:t>
      </w:r>
      <w:r w:rsidRPr="00677D91">
        <w:rPr>
          <w:rFonts w:asciiTheme="majorBidi" w:hAnsiTheme="majorBidi" w:cstheme="majorBidi"/>
          <w:sz w:val="28"/>
          <w:szCs w:val="28"/>
          <w:lang w:eastAsia="fr-FR"/>
        </w:rPr>
        <w:t xml:space="preserve">décisions </w:t>
      </w:r>
      <w:r w:rsidRPr="00166E90">
        <w:rPr>
          <w:rFonts w:asciiTheme="majorBidi" w:hAnsiTheme="majorBidi" w:cstheme="majorBidi"/>
          <w:b/>
          <w:bCs/>
          <w:sz w:val="28"/>
          <w:szCs w:val="28"/>
          <w:lang w:eastAsia="fr-FR"/>
        </w:rPr>
        <w:t>finales</w:t>
      </w:r>
      <w:r>
        <w:rPr>
          <w:rFonts w:asciiTheme="majorBidi" w:hAnsiTheme="majorBidi" w:cstheme="majorBidi"/>
          <w:sz w:val="28"/>
          <w:szCs w:val="28"/>
          <w:lang w:eastAsia="fr-FR"/>
        </w:rPr>
        <w:t xml:space="preserve">, et aucune voie de recours n’est possible </w:t>
      </w:r>
      <w:r>
        <w:rPr>
          <w:rFonts w:asciiTheme="majorBidi" w:hAnsiTheme="majorBidi" w:cstheme="majorBidi"/>
          <w:sz w:val="28"/>
          <w:szCs w:val="28"/>
        </w:rPr>
        <w:t xml:space="preserve">(Art.32 de </w:t>
      </w:r>
      <w:r w:rsidRPr="00677D91">
        <w:rPr>
          <w:rFonts w:asciiTheme="majorBidi" w:hAnsiTheme="majorBidi" w:cstheme="majorBidi"/>
          <w:sz w:val="28"/>
          <w:szCs w:val="28"/>
          <w:lang w:eastAsia="fr-FR"/>
        </w:rPr>
        <w:t>la loi organique n°</w:t>
      </w:r>
      <w:r>
        <w:rPr>
          <w:rFonts w:asciiTheme="majorBidi" w:hAnsiTheme="majorBidi" w:cstheme="majorBidi"/>
          <w:sz w:val="28"/>
          <w:szCs w:val="28"/>
          <w:lang w:eastAsia="fr-FR"/>
        </w:rPr>
        <w:t>.</w:t>
      </w:r>
      <w:r w:rsidRPr="00677D91">
        <w:rPr>
          <w:rFonts w:asciiTheme="majorBidi" w:hAnsiTheme="majorBidi" w:cstheme="majorBidi"/>
          <w:sz w:val="28"/>
          <w:szCs w:val="28"/>
          <w:lang w:eastAsia="fr-FR"/>
        </w:rPr>
        <w:t>98-03</w:t>
      </w:r>
      <w:r>
        <w:rPr>
          <w:rFonts w:asciiTheme="majorBidi" w:hAnsiTheme="majorBidi" w:cstheme="majorBidi"/>
          <w:sz w:val="28"/>
          <w:szCs w:val="28"/>
          <w:lang w:eastAsia="fr-FR"/>
        </w:rPr>
        <w:t>)</w:t>
      </w:r>
      <w:r w:rsidRPr="00677D91">
        <w:rPr>
          <w:rFonts w:asciiTheme="majorBidi" w:hAnsiTheme="majorBidi" w:cstheme="majorBidi"/>
          <w:sz w:val="28"/>
          <w:szCs w:val="28"/>
          <w:lang w:eastAsia="fr-FR"/>
        </w:rPr>
        <w:t xml:space="preserve">. </w:t>
      </w:r>
    </w:p>
    <w:p w:rsidR="000A0B64" w:rsidRDefault="000A0B64" w:rsidP="000A0B64">
      <w:pPr>
        <w:spacing w:line="240" w:lineRule="auto"/>
        <w:ind w:firstLine="567"/>
        <w:jc w:val="both"/>
        <w:rPr>
          <w:rFonts w:asciiTheme="majorBidi" w:hAnsiTheme="majorBidi" w:cstheme="majorBidi"/>
          <w:sz w:val="28"/>
          <w:szCs w:val="28"/>
          <w:lang w:eastAsia="fr-FR"/>
        </w:rPr>
      </w:pPr>
      <w:r w:rsidRPr="00175A2A">
        <w:rPr>
          <w:rFonts w:asciiTheme="majorBidi" w:hAnsiTheme="majorBidi" w:cstheme="majorBidi"/>
          <w:sz w:val="28"/>
          <w:szCs w:val="28"/>
          <w:lang w:eastAsia="fr-FR"/>
        </w:rPr>
        <w:t>Les conflits de compétence entre les juridictions re</w:t>
      </w:r>
      <w:r>
        <w:rPr>
          <w:rFonts w:asciiTheme="majorBidi" w:hAnsiTheme="majorBidi" w:cstheme="majorBidi"/>
          <w:sz w:val="28"/>
          <w:szCs w:val="28"/>
          <w:lang w:eastAsia="fr-FR"/>
        </w:rPr>
        <w:t xml:space="preserve">levant du même ordre judiciairene relèvent pas des compétences du </w:t>
      </w:r>
      <w:r w:rsidRPr="00175A2A">
        <w:rPr>
          <w:rFonts w:asciiTheme="majorBidi" w:hAnsiTheme="majorBidi" w:cstheme="majorBidi"/>
          <w:sz w:val="28"/>
          <w:szCs w:val="28"/>
          <w:lang w:eastAsia="fr-FR"/>
        </w:rPr>
        <w:t>tribunal des conflits</w:t>
      </w:r>
      <w:r>
        <w:rPr>
          <w:rFonts w:asciiTheme="majorBidi" w:hAnsiTheme="majorBidi" w:cstheme="majorBidi"/>
          <w:sz w:val="28"/>
          <w:szCs w:val="28"/>
        </w:rPr>
        <w:t xml:space="preserve">(Art.3/1 de </w:t>
      </w:r>
      <w:r w:rsidRPr="00677D91">
        <w:rPr>
          <w:rFonts w:asciiTheme="majorBidi" w:hAnsiTheme="majorBidi" w:cstheme="majorBidi"/>
          <w:sz w:val="28"/>
          <w:szCs w:val="28"/>
          <w:lang w:eastAsia="fr-FR"/>
        </w:rPr>
        <w:t>la loi organique n°</w:t>
      </w:r>
      <w:r>
        <w:rPr>
          <w:rFonts w:asciiTheme="majorBidi" w:hAnsiTheme="majorBidi" w:cstheme="majorBidi"/>
          <w:sz w:val="28"/>
          <w:szCs w:val="28"/>
          <w:lang w:eastAsia="fr-FR"/>
        </w:rPr>
        <w:t>.</w:t>
      </w:r>
      <w:r w:rsidRPr="00677D91">
        <w:rPr>
          <w:rFonts w:asciiTheme="majorBidi" w:hAnsiTheme="majorBidi" w:cstheme="majorBidi"/>
          <w:sz w:val="28"/>
          <w:szCs w:val="28"/>
          <w:lang w:eastAsia="fr-FR"/>
        </w:rPr>
        <w:t>98-03</w:t>
      </w:r>
      <w:r>
        <w:rPr>
          <w:rFonts w:asciiTheme="majorBidi" w:hAnsiTheme="majorBidi" w:cstheme="majorBidi"/>
          <w:sz w:val="28"/>
          <w:szCs w:val="28"/>
          <w:lang w:eastAsia="fr-FR"/>
        </w:rPr>
        <w:t>)</w:t>
      </w:r>
      <w:r w:rsidRPr="00677D91">
        <w:rPr>
          <w:rFonts w:asciiTheme="majorBidi" w:hAnsiTheme="majorBidi" w:cstheme="majorBidi"/>
          <w:sz w:val="28"/>
          <w:szCs w:val="28"/>
          <w:lang w:eastAsia="fr-FR"/>
        </w:rPr>
        <w:t>.</w:t>
      </w:r>
    </w:p>
    <w:p w:rsidR="000A0B64" w:rsidRPr="00292C1D" w:rsidRDefault="000A0B64" w:rsidP="000A0B64">
      <w:pPr>
        <w:jc w:val="center"/>
        <w:rPr>
          <w:rFonts w:asciiTheme="majorBidi" w:eastAsia="Times New Roman" w:hAnsiTheme="majorBidi" w:cstheme="majorBidi"/>
          <w:b/>
          <w:bCs/>
          <w:sz w:val="28"/>
          <w:szCs w:val="28"/>
          <w:u w:val="single"/>
          <w:lang w:eastAsia="fr-FR" w:bidi="ar-DZ"/>
        </w:rPr>
      </w:pPr>
      <w:r w:rsidRPr="00292C1D">
        <w:rPr>
          <w:rFonts w:asciiTheme="majorBidi" w:eastAsia="Times New Roman" w:hAnsiTheme="majorBidi" w:cstheme="majorBidi"/>
          <w:b/>
          <w:bCs/>
          <w:sz w:val="28"/>
          <w:szCs w:val="28"/>
          <w:u w:val="single"/>
          <w:lang w:eastAsia="fr-FR" w:bidi="ar-DZ"/>
        </w:rPr>
        <w:lastRenderedPageBreak/>
        <w:t>Mots et expressions clés</w:t>
      </w:r>
    </w:p>
    <w:p w:rsidR="000A0B64" w:rsidRDefault="000A0B64" w:rsidP="000A0B64">
      <w:pPr>
        <w:spacing w:after="0" w:line="360" w:lineRule="auto"/>
        <w:jc w:val="center"/>
        <w:rPr>
          <w:rFonts w:asciiTheme="majorBidi" w:hAnsiTheme="majorBidi" w:cstheme="majorBidi"/>
          <w:sz w:val="28"/>
          <w:szCs w:val="28"/>
        </w:rPr>
      </w:pPr>
    </w:p>
    <w:p w:rsidR="000A0B64" w:rsidRDefault="000A0B64" w:rsidP="000A0B64">
      <w:pPr>
        <w:spacing w:after="0" w:line="360" w:lineRule="auto"/>
        <w:jc w:val="center"/>
      </w:pPr>
      <w:r w:rsidRPr="006A25F5">
        <w:rPr>
          <w:rFonts w:asciiTheme="majorBidi" w:hAnsiTheme="majorBidi" w:cstheme="majorBidi"/>
          <w:sz w:val="28"/>
          <w:szCs w:val="28"/>
        </w:rPr>
        <w:t>Ordre judiciaire administratif</w:t>
      </w:r>
      <w:r>
        <w:rPr>
          <w:rFonts w:asciiTheme="majorBidi" w:hAnsiTheme="majorBidi" w:cstheme="majorBidi"/>
          <w:sz w:val="28"/>
          <w:szCs w:val="28"/>
        </w:rPr>
        <w:t xml:space="preserve"> – </w:t>
      </w:r>
      <w:r>
        <w:rPr>
          <w:rFonts w:asciiTheme="majorBidi" w:hAnsiTheme="majorBidi" w:cstheme="majorBidi" w:hint="cs"/>
          <w:sz w:val="28"/>
          <w:szCs w:val="28"/>
          <w:rtl/>
        </w:rPr>
        <w:t>النظام القضائي الاداري</w:t>
      </w:r>
    </w:p>
    <w:p w:rsidR="000A0B64" w:rsidRPr="00D148D3" w:rsidRDefault="000A0B64" w:rsidP="000A0B64">
      <w:pPr>
        <w:spacing w:after="0" w:line="360" w:lineRule="auto"/>
        <w:jc w:val="center"/>
      </w:pPr>
      <w:r w:rsidRPr="00D148D3">
        <w:rPr>
          <w:rFonts w:asciiTheme="majorBidi" w:hAnsiTheme="majorBidi" w:cstheme="majorBidi"/>
          <w:sz w:val="28"/>
          <w:szCs w:val="28"/>
        </w:rPr>
        <w:t>Le tribunal administratif</w:t>
      </w:r>
      <w:r>
        <w:rPr>
          <w:rFonts w:asciiTheme="majorBidi" w:hAnsiTheme="majorBidi" w:cstheme="majorBidi"/>
          <w:sz w:val="28"/>
          <w:szCs w:val="28"/>
        </w:rPr>
        <w:t xml:space="preserve"> – </w:t>
      </w:r>
      <w:r>
        <w:rPr>
          <w:rFonts w:asciiTheme="majorBidi" w:hAnsiTheme="majorBidi" w:cstheme="majorBidi" w:hint="cs"/>
          <w:sz w:val="28"/>
          <w:szCs w:val="28"/>
          <w:rtl/>
        </w:rPr>
        <w:t>المحكمة الادارية</w:t>
      </w:r>
    </w:p>
    <w:p w:rsidR="000A0B64" w:rsidRPr="00D148D3" w:rsidRDefault="000A0B64" w:rsidP="000A0B64">
      <w:pPr>
        <w:spacing w:after="0" w:line="360" w:lineRule="auto"/>
        <w:jc w:val="center"/>
      </w:pPr>
      <w:r w:rsidRPr="00D148D3">
        <w:rPr>
          <w:rFonts w:asciiTheme="majorBidi" w:hAnsiTheme="majorBidi" w:cstheme="majorBidi"/>
          <w:sz w:val="28"/>
          <w:szCs w:val="28"/>
        </w:rPr>
        <w:t>Le conseil d’État</w:t>
      </w:r>
      <w:r>
        <w:rPr>
          <w:rFonts w:asciiTheme="majorBidi" w:hAnsiTheme="majorBidi" w:cstheme="majorBidi"/>
          <w:sz w:val="28"/>
          <w:szCs w:val="28"/>
        </w:rPr>
        <w:t xml:space="preserve"> – </w:t>
      </w:r>
      <w:r>
        <w:rPr>
          <w:rFonts w:asciiTheme="majorBidi" w:hAnsiTheme="majorBidi" w:cstheme="majorBidi" w:hint="cs"/>
          <w:sz w:val="28"/>
          <w:szCs w:val="28"/>
          <w:rtl/>
        </w:rPr>
        <w:t>مجلس الدولة</w:t>
      </w:r>
    </w:p>
    <w:p w:rsidR="000A0B64" w:rsidRPr="00D148D3" w:rsidRDefault="000A0B64" w:rsidP="000A0B64">
      <w:pPr>
        <w:spacing w:after="0" w:line="360" w:lineRule="auto"/>
        <w:jc w:val="center"/>
      </w:pPr>
      <w:r w:rsidRPr="00D148D3">
        <w:rPr>
          <w:rFonts w:asciiTheme="majorBidi" w:hAnsiTheme="majorBidi" w:cstheme="majorBidi"/>
          <w:sz w:val="28"/>
          <w:szCs w:val="28"/>
        </w:rPr>
        <w:t>Tribunal des conflits</w:t>
      </w:r>
      <w:r>
        <w:rPr>
          <w:rFonts w:asciiTheme="majorBidi" w:hAnsiTheme="majorBidi" w:cstheme="majorBidi"/>
          <w:sz w:val="28"/>
          <w:szCs w:val="28"/>
        </w:rPr>
        <w:t xml:space="preserve"> – </w:t>
      </w:r>
      <w:r>
        <w:rPr>
          <w:rFonts w:asciiTheme="majorBidi" w:hAnsiTheme="majorBidi" w:cstheme="majorBidi" w:hint="cs"/>
          <w:sz w:val="28"/>
          <w:szCs w:val="28"/>
          <w:rtl/>
        </w:rPr>
        <w:t>محكمة التنازع</w:t>
      </w:r>
    </w:p>
    <w:p w:rsidR="000A0B64" w:rsidRDefault="000A0B64" w:rsidP="000A0B64">
      <w:pPr>
        <w:spacing w:after="0" w:line="360" w:lineRule="auto"/>
        <w:jc w:val="center"/>
      </w:pPr>
      <w:r w:rsidRPr="00B75040">
        <w:rPr>
          <w:rFonts w:asciiTheme="majorBidi" w:hAnsiTheme="majorBidi" w:cstheme="majorBidi"/>
          <w:sz w:val="28"/>
          <w:szCs w:val="28"/>
        </w:rPr>
        <w:t>L’unification de la jurisprudence administrative</w:t>
      </w:r>
      <w:r>
        <w:rPr>
          <w:rFonts w:asciiTheme="majorBidi" w:hAnsiTheme="majorBidi" w:cstheme="majorBidi"/>
          <w:sz w:val="28"/>
          <w:szCs w:val="28"/>
        </w:rPr>
        <w:t xml:space="preserve"> – </w:t>
      </w:r>
      <w:r>
        <w:rPr>
          <w:rFonts w:asciiTheme="majorBidi" w:hAnsiTheme="majorBidi" w:cstheme="majorBidi" w:hint="cs"/>
          <w:sz w:val="28"/>
          <w:szCs w:val="28"/>
          <w:rtl/>
        </w:rPr>
        <w:t>توحيد الاجتهاد القضائي الاداري</w:t>
      </w:r>
    </w:p>
    <w:p w:rsidR="000A0B64" w:rsidRPr="00D148D3" w:rsidRDefault="000A0B64" w:rsidP="000A0B64">
      <w:pPr>
        <w:spacing w:after="0" w:line="360" w:lineRule="auto"/>
        <w:jc w:val="center"/>
        <w:rPr>
          <w:rFonts w:asciiTheme="majorBidi" w:hAnsiTheme="majorBidi" w:cstheme="majorBidi"/>
          <w:sz w:val="28"/>
          <w:szCs w:val="28"/>
        </w:rPr>
      </w:pPr>
      <w:r w:rsidRPr="00D148D3">
        <w:rPr>
          <w:rFonts w:asciiTheme="majorBidi" w:hAnsiTheme="majorBidi" w:cstheme="majorBidi"/>
          <w:sz w:val="28"/>
          <w:szCs w:val="28"/>
        </w:rPr>
        <w:t>Recours en annulation</w:t>
      </w:r>
      <w:r>
        <w:rPr>
          <w:rFonts w:asciiTheme="majorBidi" w:hAnsiTheme="majorBidi" w:cstheme="majorBidi"/>
          <w:sz w:val="28"/>
          <w:szCs w:val="28"/>
        </w:rPr>
        <w:t xml:space="preserve"> – </w:t>
      </w:r>
      <w:r>
        <w:rPr>
          <w:rFonts w:asciiTheme="majorBidi" w:hAnsiTheme="majorBidi" w:cstheme="majorBidi" w:hint="cs"/>
          <w:sz w:val="28"/>
          <w:szCs w:val="28"/>
          <w:rtl/>
        </w:rPr>
        <w:t>دعاوى الإلغاء</w:t>
      </w:r>
    </w:p>
    <w:p w:rsidR="000A0B64" w:rsidRPr="00D148D3" w:rsidRDefault="000A0B64" w:rsidP="000A0B64">
      <w:pPr>
        <w:spacing w:after="0" w:line="360" w:lineRule="auto"/>
        <w:jc w:val="center"/>
        <w:rPr>
          <w:rFonts w:asciiTheme="majorBidi" w:hAnsiTheme="majorBidi" w:cstheme="majorBidi"/>
          <w:sz w:val="28"/>
          <w:szCs w:val="28"/>
        </w:rPr>
      </w:pPr>
      <w:r w:rsidRPr="00D148D3">
        <w:rPr>
          <w:rFonts w:asciiTheme="majorBidi" w:hAnsiTheme="majorBidi" w:cstheme="majorBidi"/>
          <w:sz w:val="28"/>
          <w:szCs w:val="28"/>
        </w:rPr>
        <w:t>Recours en interprétation</w:t>
      </w:r>
      <w:r>
        <w:rPr>
          <w:rFonts w:asciiTheme="majorBidi" w:hAnsiTheme="majorBidi" w:cstheme="majorBidi"/>
          <w:sz w:val="28"/>
          <w:szCs w:val="28"/>
        </w:rPr>
        <w:t xml:space="preserve"> – </w:t>
      </w:r>
      <w:r>
        <w:rPr>
          <w:rFonts w:asciiTheme="majorBidi" w:hAnsiTheme="majorBidi" w:cstheme="majorBidi" w:hint="cs"/>
          <w:sz w:val="28"/>
          <w:szCs w:val="28"/>
          <w:rtl/>
        </w:rPr>
        <w:t>دعاوى التفسير</w:t>
      </w:r>
    </w:p>
    <w:p w:rsidR="000A0B64" w:rsidRDefault="000A0B64" w:rsidP="000A0B64">
      <w:pPr>
        <w:spacing w:after="0" w:line="360" w:lineRule="auto"/>
        <w:jc w:val="center"/>
      </w:pPr>
      <w:r w:rsidRPr="00D148D3">
        <w:rPr>
          <w:rFonts w:asciiTheme="majorBidi" w:hAnsiTheme="majorBidi" w:cstheme="majorBidi"/>
          <w:sz w:val="28"/>
          <w:szCs w:val="28"/>
        </w:rPr>
        <w:t>Recours en appréciation</w:t>
      </w:r>
      <w:r>
        <w:rPr>
          <w:rFonts w:asciiTheme="majorBidi" w:hAnsiTheme="majorBidi" w:cstheme="majorBidi"/>
          <w:sz w:val="28"/>
          <w:szCs w:val="28"/>
        </w:rPr>
        <w:t xml:space="preserve"> – </w:t>
      </w:r>
      <w:r>
        <w:rPr>
          <w:rFonts w:asciiTheme="majorBidi" w:hAnsiTheme="majorBidi" w:cstheme="majorBidi" w:hint="cs"/>
          <w:sz w:val="28"/>
          <w:szCs w:val="28"/>
          <w:rtl/>
        </w:rPr>
        <w:t>دعاوى تقدير المشروعية</w:t>
      </w:r>
    </w:p>
    <w:p w:rsidR="000A0B64" w:rsidRDefault="000A0B64" w:rsidP="000A0B64">
      <w:pPr>
        <w:spacing w:after="0" w:line="360" w:lineRule="auto"/>
        <w:jc w:val="center"/>
      </w:pPr>
      <w:r w:rsidRPr="00AA2E1F">
        <w:rPr>
          <w:rFonts w:asciiTheme="majorBidi" w:hAnsiTheme="majorBidi" w:cstheme="majorBidi"/>
          <w:sz w:val="28"/>
          <w:szCs w:val="28"/>
        </w:rPr>
        <w:t>Pourvoi en cassation</w:t>
      </w:r>
      <w:r>
        <w:rPr>
          <w:rFonts w:asciiTheme="majorBidi" w:hAnsiTheme="majorBidi" w:cstheme="majorBidi"/>
          <w:sz w:val="28"/>
          <w:szCs w:val="28"/>
        </w:rPr>
        <w:t xml:space="preserve"> – </w:t>
      </w:r>
      <w:r>
        <w:rPr>
          <w:rFonts w:asciiTheme="majorBidi" w:hAnsiTheme="majorBidi" w:cstheme="majorBidi" w:hint="cs"/>
          <w:sz w:val="28"/>
          <w:szCs w:val="28"/>
          <w:rtl/>
        </w:rPr>
        <w:t>الطعن بالنقض</w:t>
      </w:r>
    </w:p>
    <w:p w:rsidR="000A0B64" w:rsidRDefault="000A0B64" w:rsidP="000A0B64">
      <w:pPr>
        <w:spacing w:after="0" w:line="360" w:lineRule="auto"/>
        <w:jc w:val="center"/>
      </w:pPr>
      <w:r>
        <w:rPr>
          <w:rFonts w:asciiTheme="majorBidi" w:hAnsiTheme="majorBidi" w:cstheme="majorBidi"/>
          <w:sz w:val="28"/>
          <w:szCs w:val="28"/>
          <w:lang w:eastAsia="fr-FR"/>
        </w:rPr>
        <w:t>Par i</w:t>
      </w:r>
      <w:r w:rsidRPr="00175A2A">
        <w:rPr>
          <w:rFonts w:asciiTheme="majorBidi" w:hAnsiTheme="majorBidi" w:cstheme="majorBidi"/>
          <w:sz w:val="28"/>
          <w:szCs w:val="28"/>
          <w:lang w:eastAsia="fr-FR"/>
        </w:rPr>
        <w:t>ntérim</w:t>
      </w:r>
      <w:r>
        <w:rPr>
          <w:rFonts w:asciiTheme="majorBidi" w:hAnsiTheme="majorBidi" w:cstheme="majorBidi"/>
          <w:sz w:val="28"/>
          <w:szCs w:val="28"/>
          <w:lang w:eastAsia="fr-FR"/>
        </w:rPr>
        <w:t xml:space="preserve"> - </w:t>
      </w:r>
      <w:r>
        <w:rPr>
          <w:rFonts w:asciiTheme="majorBidi" w:hAnsiTheme="majorBidi" w:cstheme="majorBidi" w:hint="cs"/>
          <w:sz w:val="28"/>
          <w:szCs w:val="28"/>
          <w:rtl/>
          <w:lang w:eastAsia="fr-FR"/>
        </w:rPr>
        <w:t>بالتناوب</w:t>
      </w:r>
    </w:p>
    <w:p w:rsidR="000A0B64" w:rsidRDefault="000A0B64" w:rsidP="000A0B64">
      <w:pPr>
        <w:spacing w:after="0" w:line="360" w:lineRule="auto"/>
        <w:jc w:val="center"/>
      </w:pPr>
      <w:r w:rsidRPr="00175A2A">
        <w:rPr>
          <w:rFonts w:asciiTheme="majorBidi" w:hAnsiTheme="majorBidi" w:cstheme="majorBidi"/>
          <w:sz w:val="28"/>
          <w:szCs w:val="28"/>
          <w:lang w:eastAsia="fr-FR"/>
        </w:rPr>
        <w:t>Désigne</w:t>
      </w:r>
      <w:r>
        <w:rPr>
          <w:rFonts w:asciiTheme="majorBidi" w:hAnsiTheme="majorBidi" w:cstheme="majorBidi"/>
          <w:sz w:val="28"/>
          <w:szCs w:val="28"/>
          <w:lang w:eastAsia="fr-FR"/>
        </w:rPr>
        <w:t xml:space="preserve"> - </w:t>
      </w:r>
      <w:r>
        <w:rPr>
          <w:rFonts w:asciiTheme="majorBidi" w:hAnsiTheme="majorBidi" w:cstheme="majorBidi" w:hint="cs"/>
          <w:sz w:val="28"/>
          <w:szCs w:val="28"/>
          <w:rtl/>
          <w:lang w:eastAsia="fr-FR"/>
        </w:rPr>
        <w:t>يُعين</w:t>
      </w:r>
    </w:p>
    <w:p w:rsidR="000A0B64" w:rsidRDefault="000A0B64" w:rsidP="000A0B64">
      <w:pPr>
        <w:spacing w:after="0" w:line="360" w:lineRule="auto"/>
        <w:jc w:val="center"/>
      </w:pPr>
      <w:r w:rsidRPr="00175A2A">
        <w:rPr>
          <w:rFonts w:asciiTheme="majorBidi" w:hAnsiTheme="majorBidi" w:cstheme="majorBidi"/>
          <w:sz w:val="28"/>
          <w:szCs w:val="28"/>
          <w:lang w:eastAsia="fr-FR"/>
        </w:rPr>
        <w:t>Conflits de compétence</w:t>
      </w:r>
      <w:r>
        <w:rPr>
          <w:rFonts w:asciiTheme="majorBidi" w:hAnsiTheme="majorBidi" w:cstheme="majorBidi"/>
          <w:sz w:val="28"/>
          <w:szCs w:val="28"/>
          <w:lang w:eastAsia="fr-FR"/>
        </w:rPr>
        <w:t xml:space="preserve"> – </w:t>
      </w:r>
      <w:r>
        <w:rPr>
          <w:rFonts w:asciiTheme="majorBidi" w:hAnsiTheme="majorBidi" w:cstheme="majorBidi" w:hint="cs"/>
          <w:sz w:val="28"/>
          <w:szCs w:val="28"/>
          <w:rtl/>
          <w:lang w:eastAsia="fr-FR"/>
        </w:rPr>
        <w:t>تنازع الاختصاص</w:t>
      </w:r>
    </w:p>
    <w:p w:rsidR="000A0B64" w:rsidRDefault="000A0B64" w:rsidP="000A0B64">
      <w:pPr>
        <w:spacing w:after="0" w:line="360" w:lineRule="auto"/>
        <w:jc w:val="center"/>
      </w:pPr>
      <w:r w:rsidRPr="00677D91">
        <w:rPr>
          <w:rFonts w:asciiTheme="majorBidi" w:hAnsiTheme="majorBidi" w:cstheme="majorBidi"/>
          <w:sz w:val="28"/>
          <w:szCs w:val="28"/>
          <w:lang w:eastAsia="fr-FR"/>
        </w:rPr>
        <w:t>Majorité des voix</w:t>
      </w:r>
      <w:r>
        <w:rPr>
          <w:rFonts w:asciiTheme="majorBidi" w:hAnsiTheme="majorBidi" w:cstheme="majorBidi"/>
          <w:sz w:val="28"/>
          <w:szCs w:val="28"/>
          <w:lang w:eastAsia="fr-FR"/>
        </w:rPr>
        <w:t xml:space="preserve"> – </w:t>
      </w:r>
      <w:r>
        <w:rPr>
          <w:rFonts w:asciiTheme="majorBidi" w:hAnsiTheme="majorBidi" w:cstheme="majorBidi" w:hint="cs"/>
          <w:sz w:val="28"/>
          <w:szCs w:val="28"/>
          <w:rtl/>
          <w:lang w:eastAsia="fr-FR"/>
        </w:rPr>
        <w:t>غالبية الأصوات</w:t>
      </w:r>
    </w:p>
    <w:p w:rsidR="000A0B64" w:rsidRDefault="000A0B64" w:rsidP="000A0B64">
      <w:pPr>
        <w:spacing w:after="0" w:line="360" w:lineRule="auto"/>
        <w:jc w:val="center"/>
      </w:pPr>
      <w:r w:rsidRPr="00677D91">
        <w:rPr>
          <w:rFonts w:asciiTheme="majorBidi" w:hAnsiTheme="majorBidi" w:cstheme="majorBidi"/>
          <w:sz w:val="28"/>
          <w:szCs w:val="28"/>
          <w:lang w:eastAsia="fr-FR"/>
        </w:rPr>
        <w:t>Prépondérante</w:t>
      </w:r>
      <w:r>
        <w:rPr>
          <w:rFonts w:asciiTheme="majorBidi" w:hAnsiTheme="majorBidi" w:cstheme="majorBidi"/>
          <w:sz w:val="28"/>
          <w:szCs w:val="28"/>
          <w:lang w:eastAsia="fr-FR"/>
        </w:rPr>
        <w:t xml:space="preserve"> - </w:t>
      </w:r>
      <w:r>
        <w:rPr>
          <w:rFonts w:asciiTheme="majorBidi" w:hAnsiTheme="majorBidi" w:cstheme="majorBidi" w:hint="cs"/>
          <w:sz w:val="28"/>
          <w:szCs w:val="28"/>
          <w:rtl/>
          <w:lang w:eastAsia="fr-FR"/>
        </w:rPr>
        <w:t>الغالبة</w:t>
      </w:r>
    </w:p>
    <w:p w:rsidR="005830C0" w:rsidRDefault="00FE2CFD"/>
    <w:sectPr w:rsidR="005830C0" w:rsidSect="00856C8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CFD" w:rsidRDefault="00FE2CFD" w:rsidP="000A0B64">
      <w:pPr>
        <w:spacing w:after="0" w:line="240" w:lineRule="auto"/>
      </w:pPr>
      <w:r>
        <w:separator/>
      </w:r>
    </w:p>
  </w:endnote>
  <w:endnote w:type="continuationSeparator" w:id="1">
    <w:p w:rsidR="00FE2CFD" w:rsidRDefault="00FE2CFD" w:rsidP="000A0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CFD" w:rsidRDefault="00FE2CFD" w:rsidP="000A0B64">
      <w:pPr>
        <w:spacing w:after="0" w:line="240" w:lineRule="auto"/>
      </w:pPr>
      <w:r>
        <w:separator/>
      </w:r>
    </w:p>
  </w:footnote>
  <w:footnote w:type="continuationSeparator" w:id="1">
    <w:p w:rsidR="00FE2CFD" w:rsidRDefault="00FE2CFD" w:rsidP="000A0B64">
      <w:pPr>
        <w:spacing w:after="0" w:line="240" w:lineRule="auto"/>
      </w:pPr>
      <w:r>
        <w:continuationSeparator/>
      </w:r>
    </w:p>
  </w:footnote>
  <w:footnote w:id="2">
    <w:p w:rsidR="000A0B64" w:rsidRPr="00A766E8" w:rsidRDefault="000A0B64" w:rsidP="000A0B64">
      <w:pPr>
        <w:pStyle w:val="Notedebasdepage"/>
        <w:jc w:val="both"/>
        <w:rPr>
          <w:rFonts w:asciiTheme="majorBidi" w:hAnsiTheme="majorBidi" w:cstheme="majorBidi"/>
        </w:rPr>
      </w:pPr>
      <w:r w:rsidRPr="00A766E8">
        <w:rPr>
          <w:rStyle w:val="Appelnotedebasdep"/>
          <w:rFonts w:asciiTheme="majorBidi" w:hAnsiTheme="majorBidi" w:cstheme="majorBidi"/>
        </w:rPr>
        <w:footnoteRef/>
      </w:r>
      <w:r w:rsidRPr="00A766E8">
        <w:rPr>
          <w:rFonts w:asciiTheme="majorBidi" w:hAnsiTheme="majorBidi" w:cstheme="majorBidi"/>
        </w:rPr>
        <w:t xml:space="preserve">- Voir, le site du ministère de la justice </w:t>
      </w:r>
      <w:hyperlink r:id="rId1" w:history="1">
        <w:r w:rsidRPr="00A766E8">
          <w:rPr>
            <w:rStyle w:val="Lienhypertexte"/>
            <w:rFonts w:asciiTheme="majorBidi" w:hAnsiTheme="majorBidi" w:cstheme="majorBidi"/>
          </w:rPr>
          <w:t>https://www.mjustice.dz/fr/lordre-judiciaire-administratif/</w:t>
        </w:r>
      </w:hyperlink>
    </w:p>
  </w:footnote>
  <w:footnote w:id="3">
    <w:p w:rsidR="000A0B64" w:rsidRPr="00A766E8" w:rsidRDefault="000A0B64" w:rsidP="000A0B64">
      <w:pPr>
        <w:pStyle w:val="Notedebasdepage"/>
        <w:jc w:val="both"/>
        <w:rPr>
          <w:rFonts w:asciiTheme="majorBidi" w:hAnsiTheme="majorBidi" w:cstheme="majorBidi"/>
        </w:rPr>
      </w:pPr>
      <w:r w:rsidRPr="00A766E8">
        <w:rPr>
          <w:rStyle w:val="Appelnotedebasdep"/>
          <w:rFonts w:asciiTheme="majorBidi" w:hAnsiTheme="majorBidi" w:cstheme="majorBidi"/>
        </w:rPr>
        <w:footnoteRef/>
      </w:r>
      <w:r w:rsidRPr="00A766E8">
        <w:rPr>
          <w:rFonts w:asciiTheme="majorBidi" w:hAnsiTheme="majorBidi" w:cstheme="majorBidi"/>
        </w:rPr>
        <w:t xml:space="preserve">- Voir, le site du ministère de la justice  </w:t>
      </w:r>
      <w:hyperlink r:id="rId2" w:history="1">
        <w:r w:rsidRPr="00A766E8">
          <w:rPr>
            <w:rStyle w:val="Lienhypertexte"/>
            <w:rFonts w:asciiTheme="majorBidi" w:hAnsiTheme="majorBidi" w:cstheme="majorBidi"/>
          </w:rPr>
          <w:t>https://www.mjustice.dz/fr/lordre-judiciaire-administratif/</w:t>
        </w:r>
      </w:hyperlink>
    </w:p>
  </w:footnote>
  <w:footnote w:id="4">
    <w:p w:rsidR="000A0B64" w:rsidRPr="00A766E8" w:rsidRDefault="000A0B64" w:rsidP="000A0B64">
      <w:pPr>
        <w:pStyle w:val="Notedebasdepage"/>
        <w:jc w:val="both"/>
        <w:rPr>
          <w:rFonts w:asciiTheme="majorBidi" w:hAnsiTheme="majorBidi" w:cstheme="majorBidi"/>
        </w:rPr>
      </w:pPr>
      <w:r w:rsidRPr="00A766E8">
        <w:rPr>
          <w:rStyle w:val="Appelnotedebasdep"/>
          <w:rFonts w:asciiTheme="majorBidi" w:hAnsiTheme="majorBidi" w:cstheme="majorBidi"/>
        </w:rPr>
        <w:footnoteRef/>
      </w:r>
      <w:r w:rsidRPr="00A766E8">
        <w:rPr>
          <w:rFonts w:asciiTheme="majorBidi" w:hAnsiTheme="majorBidi" w:cstheme="majorBidi"/>
        </w:rPr>
        <w:t xml:space="preserve">- Voir, le site du ministère de la justice </w:t>
      </w:r>
      <w:hyperlink r:id="rId3" w:history="1">
        <w:r w:rsidRPr="00A766E8">
          <w:rPr>
            <w:rStyle w:val="Lienhypertexte"/>
            <w:rFonts w:asciiTheme="majorBidi" w:hAnsiTheme="majorBidi" w:cstheme="majorBidi"/>
          </w:rPr>
          <w:t>https://www.mjustice.dz/fr/le-tribunal-des-conflits/</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0A0B64"/>
    <w:rsid w:val="000A0B64"/>
    <w:rsid w:val="00223399"/>
    <w:rsid w:val="005F1FAD"/>
    <w:rsid w:val="006D578C"/>
    <w:rsid w:val="00856C84"/>
    <w:rsid w:val="00882264"/>
    <w:rsid w:val="00897A50"/>
    <w:rsid w:val="008B4A08"/>
    <w:rsid w:val="00A55AF2"/>
    <w:rsid w:val="00B94641"/>
    <w:rsid w:val="00D65D66"/>
    <w:rsid w:val="00F5148A"/>
    <w:rsid w:val="00FE2CF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0B64"/>
    <w:pPr>
      <w:ind w:left="720"/>
      <w:contextualSpacing/>
    </w:pPr>
  </w:style>
  <w:style w:type="paragraph" w:styleId="Notedebasdepage">
    <w:name w:val="footnote text"/>
    <w:basedOn w:val="Normal"/>
    <w:link w:val="NotedebasdepageCar"/>
    <w:uiPriority w:val="99"/>
    <w:semiHidden/>
    <w:unhideWhenUsed/>
    <w:rsid w:val="000A0B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0B64"/>
    <w:rPr>
      <w:sz w:val="20"/>
      <w:szCs w:val="20"/>
    </w:rPr>
  </w:style>
  <w:style w:type="character" w:styleId="Appelnotedebasdep">
    <w:name w:val="footnote reference"/>
    <w:basedOn w:val="Policepardfaut"/>
    <w:uiPriority w:val="99"/>
    <w:semiHidden/>
    <w:unhideWhenUsed/>
    <w:rsid w:val="000A0B64"/>
    <w:rPr>
      <w:vertAlign w:val="superscript"/>
    </w:rPr>
  </w:style>
  <w:style w:type="character" w:styleId="Lienhypertexte">
    <w:name w:val="Hyperlink"/>
    <w:basedOn w:val="Policepardfaut"/>
    <w:uiPriority w:val="99"/>
    <w:unhideWhenUsed/>
    <w:rsid w:val="000A0B64"/>
    <w:rPr>
      <w:color w:val="0000FF" w:themeColor="hyperlink"/>
      <w:u w:val="single"/>
    </w:rPr>
  </w:style>
  <w:style w:type="character" w:styleId="lev">
    <w:name w:val="Strong"/>
    <w:basedOn w:val="Policepardfaut"/>
    <w:uiPriority w:val="22"/>
    <w:qFormat/>
    <w:rsid w:val="000A0B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0B64"/>
    <w:pPr>
      <w:ind w:left="720"/>
      <w:contextualSpacing/>
    </w:pPr>
  </w:style>
  <w:style w:type="paragraph" w:styleId="Notedebasdepage">
    <w:name w:val="footnote text"/>
    <w:basedOn w:val="Normal"/>
    <w:link w:val="NotedebasdepageCar"/>
    <w:uiPriority w:val="99"/>
    <w:semiHidden/>
    <w:unhideWhenUsed/>
    <w:rsid w:val="000A0B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0B64"/>
    <w:rPr>
      <w:sz w:val="20"/>
      <w:szCs w:val="20"/>
    </w:rPr>
  </w:style>
  <w:style w:type="character" w:styleId="Appelnotedebasdep">
    <w:name w:val="footnote reference"/>
    <w:basedOn w:val="Policepardfaut"/>
    <w:uiPriority w:val="99"/>
    <w:semiHidden/>
    <w:unhideWhenUsed/>
    <w:rsid w:val="000A0B64"/>
    <w:rPr>
      <w:vertAlign w:val="superscript"/>
    </w:rPr>
  </w:style>
  <w:style w:type="character" w:styleId="Lienhypertexte">
    <w:name w:val="Hyperlink"/>
    <w:basedOn w:val="Policepardfaut"/>
    <w:uiPriority w:val="99"/>
    <w:unhideWhenUsed/>
    <w:rsid w:val="000A0B64"/>
    <w:rPr>
      <w:color w:val="0000FF" w:themeColor="hyperlink"/>
      <w:u w:val="single"/>
    </w:rPr>
  </w:style>
  <w:style w:type="character" w:styleId="lev">
    <w:name w:val="Strong"/>
    <w:basedOn w:val="Policepardfaut"/>
    <w:uiPriority w:val="22"/>
    <w:qFormat/>
    <w:rsid w:val="000A0B6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mjustice.dz/fr/le-tribunal-des-conflits/" TargetMode="External"/><Relationship Id="rId2" Type="http://schemas.openxmlformats.org/officeDocument/2006/relationships/hyperlink" Target="https://www.mjustice.dz/fr/lordre-judiciaire-administratif/" TargetMode="External"/><Relationship Id="rId1" Type="http://schemas.openxmlformats.org/officeDocument/2006/relationships/hyperlink" Target="https://www.mjustice.dz/fr/lordre-judiciaire-administrat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4644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2021-12-15T10:37:00Z</dcterms:created>
  <dcterms:modified xsi:type="dcterms:W3CDTF">2021-12-15T10:37:00Z</dcterms:modified>
</cp:coreProperties>
</file>