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58" w:rsidRPr="00170458" w:rsidRDefault="00170458" w:rsidP="00170458">
      <w:pPr>
        <w:pStyle w:val="Default"/>
        <w:spacing w:after="200"/>
        <w:jc w:val="both"/>
        <w:rPr>
          <w:rFonts w:asciiTheme="majorBidi" w:hAnsiTheme="majorBidi" w:cstheme="majorBidi"/>
          <w:color w:val="FF0000"/>
        </w:rPr>
      </w:pPr>
      <w:r w:rsidRPr="00170458">
        <w:rPr>
          <w:rFonts w:asciiTheme="majorBidi" w:hAnsiTheme="majorBidi" w:cstheme="majorBidi"/>
          <w:b/>
          <w:bCs/>
        </w:rPr>
        <w:t xml:space="preserve">: </w:t>
      </w:r>
      <w:r w:rsidRPr="00170458">
        <w:rPr>
          <w:rFonts w:asciiTheme="majorBidi" w:hAnsiTheme="majorBidi" w:cstheme="majorBidi"/>
          <w:b/>
          <w:bCs/>
          <w:i/>
          <w:iCs/>
          <w:color w:val="FF0000"/>
        </w:rPr>
        <w:t xml:space="preserve">Distinction entre les différents types de raisonnement : par opposition et par l’absurde </w:t>
      </w:r>
    </w:p>
    <w:p w:rsidR="00170458" w:rsidRPr="00170458" w:rsidRDefault="00170458" w:rsidP="00170458">
      <w:pPr>
        <w:pStyle w:val="Default"/>
        <w:spacing w:after="200"/>
        <w:jc w:val="both"/>
        <w:rPr>
          <w:rFonts w:asciiTheme="majorBidi" w:hAnsiTheme="majorBidi" w:cstheme="majorBidi"/>
          <w:color w:val="FF0000"/>
        </w:rPr>
      </w:pPr>
      <w:r w:rsidRPr="00170458">
        <w:rPr>
          <w:rFonts w:asciiTheme="majorBidi" w:hAnsiTheme="majorBidi" w:cstheme="majorBidi"/>
          <w:b/>
          <w:bCs/>
          <w:color w:val="FF0000"/>
        </w:rPr>
        <w:t xml:space="preserve">Objectif : </w:t>
      </w:r>
    </w:p>
    <w:p w:rsidR="00170458" w:rsidRPr="00352C03" w:rsidRDefault="00170458" w:rsidP="00352C03">
      <w:pPr>
        <w:pStyle w:val="Default"/>
        <w:spacing w:after="200" w:line="360" w:lineRule="auto"/>
        <w:ind w:left="720" w:hanging="360"/>
        <w:jc w:val="both"/>
        <w:rPr>
          <w:rFonts w:asciiTheme="majorBidi" w:hAnsiTheme="majorBidi" w:cstheme="majorBidi"/>
        </w:rPr>
      </w:pPr>
      <w:r w:rsidRPr="00352C03">
        <w:rPr>
          <w:rFonts w:asciiTheme="majorBidi" w:hAnsiTheme="majorBidi" w:cstheme="majorBidi"/>
        </w:rPr>
        <w:t xml:space="preserve">- Savoir employer les différents modes de raisonnement </w:t>
      </w:r>
    </w:p>
    <w:p w:rsidR="00170458" w:rsidRPr="00352C03" w:rsidRDefault="00170458" w:rsidP="00352C03">
      <w:pPr>
        <w:pStyle w:val="Default"/>
        <w:spacing w:after="200" w:line="360" w:lineRule="auto"/>
        <w:ind w:left="720" w:hanging="360"/>
        <w:jc w:val="both"/>
        <w:rPr>
          <w:rFonts w:asciiTheme="majorBidi" w:hAnsiTheme="majorBidi" w:cstheme="majorBidi"/>
        </w:rPr>
      </w:pPr>
      <w:r w:rsidRPr="00352C03">
        <w:rPr>
          <w:rFonts w:asciiTheme="majorBidi" w:hAnsiTheme="majorBidi" w:cstheme="majorBidi"/>
          <w:b/>
          <w:bCs/>
        </w:rPr>
        <w:t xml:space="preserve">1- Le raisonnement par opposition </w:t>
      </w:r>
    </w:p>
    <w:p w:rsidR="00170458" w:rsidRPr="00352C03" w:rsidRDefault="00170458" w:rsidP="00352C03">
      <w:pPr>
        <w:pStyle w:val="Default"/>
        <w:spacing w:after="200" w:line="360" w:lineRule="auto"/>
        <w:jc w:val="both"/>
        <w:rPr>
          <w:rFonts w:asciiTheme="majorBidi" w:hAnsiTheme="majorBidi" w:cstheme="majorBidi"/>
        </w:rPr>
      </w:pPr>
      <w:r w:rsidRPr="00352C03">
        <w:rPr>
          <w:rFonts w:asciiTheme="majorBidi" w:hAnsiTheme="majorBidi" w:cstheme="majorBidi"/>
        </w:rPr>
        <w:t xml:space="preserve">       L’auteur peut mettre en valeur une thèse en lui opposant une autre, ou une situation contraire. </w:t>
      </w:r>
    </w:p>
    <w:p w:rsidR="002963EB" w:rsidRPr="00352C03" w:rsidRDefault="00170458" w:rsidP="00352C0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52C03">
        <w:rPr>
          <w:rFonts w:asciiTheme="majorBidi" w:hAnsiTheme="majorBidi" w:cstheme="majorBidi"/>
          <w:sz w:val="24"/>
          <w:szCs w:val="24"/>
        </w:rPr>
        <w:t xml:space="preserve">Exemple- </w:t>
      </w:r>
      <w:r w:rsidRPr="00352C03">
        <w:rPr>
          <w:rFonts w:asciiTheme="majorBidi" w:hAnsiTheme="majorBidi" w:cstheme="majorBidi"/>
          <w:b/>
          <w:bCs/>
          <w:sz w:val="24"/>
          <w:szCs w:val="24"/>
        </w:rPr>
        <w:t>Les bêtes n’ont point les suprêmes avantages que nous avons ; elles en ont que nous n’avons pas. Elles n’ont point nos espérances, mais n’ont point nos craintes, elles subissent comme nous la mort, mais c’est sans la connaître</w:t>
      </w:r>
      <w:r w:rsidRPr="00352C03">
        <w:rPr>
          <w:rFonts w:asciiTheme="majorBidi" w:hAnsiTheme="majorBidi" w:cstheme="majorBidi"/>
          <w:sz w:val="24"/>
          <w:szCs w:val="24"/>
        </w:rPr>
        <w:t>. Montesquieu, Livre 1 Chapitre 1</w:t>
      </w:r>
    </w:p>
    <w:p w:rsidR="00170458" w:rsidRPr="00352C03" w:rsidRDefault="00170458" w:rsidP="00352C03">
      <w:pPr>
        <w:pStyle w:val="Default"/>
        <w:spacing w:after="200" w:line="360" w:lineRule="auto"/>
        <w:jc w:val="both"/>
        <w:rPr>
          <w:rFonts w:asciiTheme="majorBidi" w:hAnsiTheme="majorBidi" w:cstheme="majorBidi"/>
        </w:rPr>
      </w:pPr>
      <w:r w:rsidRPr="00352C03">
        <w:rPr>
          <w:rFonts w:asciiTheme="majorBidi" w:hAnsiTheme="majorBidi" w:cstheme="majorBidi"/>
        </w:rPr>
        <w:t xml:space="preserve">     A partir des expressions et des termes opposés suivants, produisez un raisonnement par opposition (emploi de l’indicatif, du subjonctif et du conditionnel) : </w:t>
      </w:r>
    </w:p>
    <w:p w:rsidR="00170458" w:rsidRPr="00352C03" w:rsidRDefault="00170458" w:rsidP="00352C03">
      <w:pPr>
        <w:pStyle w:val="Default"/>
        <w:spacing w:after="200" w:line="360" w:lineRule="auto"/>
        <w:jc w:val="both"/>
        <w:rPr>
          <w:rFonts w:asciiTheme="majorBidi" w:hAnsiTheme="majorBidi" w:cstheme="majorBidi"/>
        </w:rPr>
      </w:pPr>
      <w:r w:rsidRPr="00352C03">
        <w:rPr>
          <w:rFonts w:asciiTheme="majorBidi" w:hAnsiTheme="majorBidi" w:cstheme="majorBidi"/>
        </w:rPr>
        <w:t xml:space="preserve">Effort/Echec - Dire/ On n’écoute pas - Invitation/ Refus </w:t>
      </w:r>
    </w:p>
    <w:p w:rsidR="00170458" w:rsidRPr="00352C03" w:rsidRDefault="00170458" w:rsidP="00352C03">
      <w:pPr>
        <w:pStyle w:val="Default"/>
        <w:spacing w:after="200" w:line="360" w:lineRule="auto"/>
        <w:jc w:val="both"/>
        <w:rPr>
          <w:rFonts w:asciiTheme="majorBidi" w:hAnsiTheme="majorBidi" w:cstheme="majorBidi"/>
        </w:rPr>
      </w:pPr>
      <w:r w:rsidRPr="00352C03">
        <w:rPr>
          <w:rFonts w:asciiTheme="majorBidi" w:hAnsiTheme="majorBidi" w:cstheme="majorBidi"/>
        </w:rPr>
        <w:t xml:space="preserve">Exemples : </w:t>
      </w:r>
    </w:p>
    <w:p w:rsidR="00170458" w:rsidRPr="00352C03" w:rsidRDefault="00170458" w:rsidP="00352C03">
      <w:pPr>
        <w:pStyle w:val="Default"/>
        <w:spacing w:after="200" w:line="360" w:lineRule="auto"/>
        <w:jc w:val="both"/>
        <w:rPr>
          <w:rFonts w:asciiTheme="majorBidi" w:hAnsiTheme="majorBidi" w:cstheme="majorBidi"/>
        </w:rPr>
      </w:pPr>
      <w:r w:rsidRPr="00352C03">
        <w:rPr>
          <w:rFonts w:asciiTheme="majorBidi" w:hAnsiTheme="majorBidi" w:cstheme="majorBidi"/>
        </w:rPr>
        <w:t>-</w:t>
      </w:r>
      <w:r w:rsidRPr="00352C03">
        <w:rPr>
          <w:rFonts w:asciiTheme="majorBidi" w:hAnsiTheme="majorBidi" w:cstheme="majorBidi"/>
          <w:i/>
          <w:iCs/>
        </w:rPr>
        <w:t xml:space="preserve">Je pense qu'il n'y arrivera pas, même s'il travaille d'arrache-pied. </w:t>
      </w:r>
      <w:r w:rsidRPr="00352C03">
        <w:rPr>
          <w:rFonts w:asciiTheme="majorBidi" w:hAnsiTheme="majorBidi" w:cstheme="majorBidi"/>
          <w:b/>
          <w:bCs/>
          <w:i/>
          <w:iCs/>
        </w:rPr>
        <w:t>(</w:t>
      </w:r>
      <w:r w:rsidRPr="00352C03">
        <w:rPr>
          <w:rFonts w:asciiTheme="majorBidi" w:hAnsiTheme="majorBidi" w:cstheme="majorBidi"/>
          <w:b/>
          <w:bCs/>
        </w:rPr>
        <w:t xml:space="preserve">Indicatif) </w:t>
      </w:r>
    </w:p>
    <w:p w:rsidR="00170458" w:rsidRPr="00352C03" w:rsidRDefault="00170458" w:rsidP="00352C03">
      <w:pPr>
        <w:pStyle w:val="Default"/>
        <w:spacing w:after="200" w:line="360" w:lineRule="auto"/>
        <w:jc w:val="both"/>
        <w:rPr>
          <w:rFonts w:asciiTheme="majorBidi" w:hAnsiTheme="majorBidi" w:cstheme="majorBidi"/>
        </w:rPr>
      </w:pPr>
      <w:r w:rsidRPr="00352C03">
        <w:rPr>
          <w:rFonts w:asciiTheme="majorBidi" w:hAnsiTheme="majorBidi" w:cstheme="majorBidi"/>
          <w:i/>
          <w:iCs/>
        </w:rPr>
        <w:t xml:space="preserve">-Quoi que tu dises, il ne t'écoutera pas. </w:t>
      </w:r>
      <w:r w:rsidRPr="00352C03">
        <w:rPr>
          <w:rFonts w:asciiTheme="majorBidi" w:hAnsiTheme="majorBidi" w:cstheme="majorBidi"/>
          <w:b/>
          <w:bCs/>
        </w:rPr>
        <w:t xml:space="preserve">(Subjonctif) </w:t>
      </w:r>
    </w:p>
    <w:p w:rsidR="00170458" w:rsidRPr="00352C03" w:rsidRDefault="00170458" w:rsidP="00352C03">
      <w:pPr>
        <w:pStyle w:val="Default"/>
        <w:spacing w:after="200" w:line="360" w:lineRule="auto"/>
        <w:jc w:val="both"/>
        <w:rPr>
          <w:rFonts w:asciiTheme="majorBidi" w:hAnsiTheme="majorBidi" w:cstheme="majorBidi"/>
        </w:rPr>
      </w:pPr>
      <w:r w:rsidRPr="00352C03">
        <w:rPr>
          <w:rFonts w:asciiTheme="majorBidi" w:hAnsiTheme="majorBidi" w:cstheme="majorBidi"/>
          <w:i/>
          <w:iCs/>
        </w:rPr>
        <w:t>-Quand bien même il m'inviterait, je n'irai pas</w:t>
      </w:r>
      <w:r w:rsidRPr="00352C03">
        <w:rPr>
          <w:rFonts w:asciiTheme="majorBidi" w:hAnsiTheme="majorBidi" w:cstheme="majorBidi"/>
          <w:b/>
          <w:bCs/>
          <w:i/>
          <w:iCs/>
        </w:rPr>
        <w:t>. (</w:t>
      </w:r>
      <w:r w:rsidRPr="00352C03">
        <w:rPr>
          <w:rFonts w:asciiTheme="majorBidi" w:hAnsiTheme="majorBidi" w:cstheme="majorBidi"/>
          <w:b/>
          <w:bCs/>
        </w:rPr>
        <w:t xml:space="preserve">Conditionnel) </w:t>
      </w:r>
    </w:p>
    <w:p w:rsidR="00170458" w:rsidRPr="00352C03" w:rsidRDefault="00170458" w:rsidP="00352C03">
      <w:pPr>
        <w:pStyle w:val="Default"/>
        <w:spacing w:after="200" w:line="360" w:lineRule="auto"/>
        <w:ind w:left="720" w:hanging="360"/>
        <w:jc w:val="both"/>
        <w:rPr>
          <w:rFonts w:asciiTheme="majorBidi" w:hAnsiTheme="majorBidi" w:cstheme="majorBidi"/>
        </w:rPr>
      </w:pPr>
      <w:r w:rsidRPr="00352C03">
        <w:rPr>
          <w:rFonts w:asciiTheme="majorBidi" w:hAnsiTheme="majorBidi" w:cstheme="majorBidi"/>
          <w:b/>
          <w:bCs/>
        </w:rPr>
        <w:t xml:space="preserve">2- Le raisonnement par l’absurde </w:t>
      </w:r>
    </w:p>
    <w:p w:rsidR="00170458" w:rsidRPr="00352C03" w:rsidRDefault="00170458" w:rsidP="00352C03">
      <w:pPr>
        <w:pStyle w:val="Default"/>
        <w:spacing w:line="360" w:lineRule="auto"/>
        <w:jc w:val="mediumKashida"/>
        <w:rPr>
          <w:rFonts w:asciiTheme="majorBidi" w:hAnsiTheme="majorBidi" w:cstheme="majorBidi"/>
          <w:color w:val="000000" w:themeColor="text1"/>
        </w:rPr>
      </w:pPr>
    </w:p>
    <w:p w:rsidR="00170458" w:rsidRPr="00352C03" w:rsidRDefault="00170458" w:rsidP="00352C03">
      <w:pPr>
        <w:pStyle w:val="Default"/>
        <w:spacing w:after="200" w:line="360" w:lineRule="auto"/>
        <w:jc w:val="mediumKashida"/>
        <w:rPr>
          <w:rFonts w:asciiTheme="majorBidi" w:hAnsiTheme="majorBidi" w:cstheme="majorBidi"/>
        </w:rPr>
      </w:pPr>
      <w:r w:rsidRPr="00352C03">
        <w:rPr>
          <w:rFonts w:asciiTheme="majorBidi" w:hAnsiTheme="majorBidi" w:cstheme="majorBidi"/>
          <w:b/>
          <w:bCs/>
          <w:color w:val="000000" w:themeColor="text1"/>
        </w:rPr>
        <w:t>Définition</w:t>
      </w:r>
      <w:r w:rsidRPr="00352C03">
        <w:rPr>
          <w:rFonts w:asciiTheme="majorBidi" w:hAnsiTheme="majorBidi" w:cstheme="majorBidi"/>
        </w:rPr>
        <w:t xml:space="preserve"> : </w:t>
      </w:r>
      <w:r w:rsidRPr="00352C03">
        <w:rPr>
          <w:rFonts w:asciiTheme="majorBidi" w:hAnsiTheme="majorBidi" w:cstheme="majorBidi"/>
          <w:i/>
          <w:iCs/>
        </w:rPr>
        <w:t xml:space="preserve">« Le raisonnement par l’absurde s’appuie sur la constatation que la thèse adverse conduit à des aberrations, ce type de raisonnement se combine aux arguments ad </w:t>
      </w:r>
      <w:proofErr w:type="spellStart"/>
      <w:r w:rsidRPr="00352C03">
        <w:rPr>
          <w:rFonts w:asciiTheme="majorBidi" w:hAnsiTheme="majorBidi" w:cstheme="majorBidi"/>
          <w:i/>
          <w:iCs/>
        </w:rPr>
        <w:t>hominen</w:t>
      </w:r>
      <w:proofErr w:type="spellEnd"/>
      <w:r w:rsidRPr="00352C03">
        <w:rPr>
          <w:rFonts w:asciiTheme="majorBidi" w:hAnsiTheme="majorBidi" w:cstheme="majorBidi"/>
          <w:i/>
          <w:iCs/>
        </w:rPr>
        <w:t xml:space="preserve"> dans le texte à caractère polémique ». </w:t>
      </w:r>
      <w:r w:rsidRPr="00352C03">
        <w:rPr>
          <w:rFonts w:asciiTheme="majorBidi" w:hAnsiTheme="majorBidi" w:cstheme="majorBidi"/>
        </w:rPr>
        <w:t>(</w:t>
      </w:r>
      <w:proofErr w:type="spellStart"/>
      <w:r w:rsidRPr="00352C03">
        <w:rPr>
          <w:rFonts w:asciiTheme="majorBidi" w:hAnsiTheme="majorBidi" w:cstheme="majorBidi"/>
        </w:rPr>
        <w:t>Spicher</w:t>
      </w:r>
      <w:proofErr w:type="spellEnd"/>
      <w:proofErr w:type="gramStart"/>
      <w:r w:rsidRPr="00352C03">
        <w:rPr>
          <w:rFonts w:asciiTheme="majorBidi" w:hAnsiTheme="majorBidi" w:cstheme="majorBidi"/>
        </w:rPr>
        <w:t>,2010</w:t>
      </w:r>
      <w:proofErr w:type="gramEnd"/>
      <w:r w:rsidRPr="00352C03">
        <w:rPr>
          <w:rFonts w:asciiTheme="majorBidi" w:hAnsiTheme="majorBidi" w:cstheme="majorBidi"/>
        </w:rPr>
        <w:t xml:space="preserve"> :105). </w:t>
      </w:r>
    </w:p>
    <w:p w:rsidR="00170458" w:rsidRPr="00352C03" w:rsidRDefault="00170458" w:rsidP="00352C03">
      <w:pPr>
        <w:pStyle w:val="Default"/>
        <w:spacing w:after="200" w:line="360" w:lineRule="auto"/>
        <w:jc w:val="mediumKashida"/>
        <w:rPr>
          <w:rFonts w:asciiTheme="majorBidi" w:hAnsiTheme="majorBidi" w:cstheme="majorBidi"/>
          <w:b/>
          <w:bCs/>
        </w:rPr>
      </w:pPr>
      <w:r w:rsidRPr="00352C03">
        <w:rPr>
          <w:rFonts w:asciiTheme="majorBidi" w:hAnsiTheme="majorBidi" w:cstheme="majorBidi"/>
          <w:b/>
          <w:bCs/>
        </w:rPr>
        <w:t xml:space="preserve">Exemple : </w:t>
      </w:r>
    </w:p>
    <w:p w:rsidR="00170458" w:rsidRPr="00352C03" w:rsidRDefault="00170458" w:rsidP="00352C03">
      <w:pPr>
        <w:pStyle w:val="Default"/>
        <w:spacing w:after="200" w:line="360" w:lineRule="auto"/>
        <w:jc w:val="mediumKashida"/>
        <w:rPr>
          <w:rFonts w:asciiTheme="majorBidi" w:hAnsiTheme="majorBidi" w:cstheme="majorBidi"/>
          <w:i/>
          <w:iCs/>
        </w:rPr>
      </w:pPr>
      <w:r w:rsidRPr="00352C03">
        <w:rPr>
          <w:rFonts w:asciiTheme="majorBidi" w:hAnsiTheme="majorBidi" w:cstheme="majorBidi"/>
          <w:b/>
          <w:bCs/>
        </w:rPr>
        <w:t>In n’ya point de liberté, si la puissance de juger n’est pas séparée de la puissance législative et de l’exécutrice. Si elle était jointe à la puissance législative, le pouvoir sur la vie et la liberté des citoyens serait arbitraire ; car le juge serait législateur. Si elle était jointe à la puissance exécutrice, le juge pourrait avoir la force d’un oppresseur</w:t>
      </w:r>
      <w:r w:rsidRPr="00352C03">
        <w:rPr>
          <w:rFonts w:asciiTheme="majorBidi" w:hAnsiTheme="majorBidi" w:cstheme="majorBidi"/>
        </w:rPr>
        <w:t xml:space="preserve">. </w:t>
      </w:r>
      <w:r w:rsidRPr="00352C03">
        <w:rPr>
          <w:rFonts w:asciiTheme="majorBidi" w:hAnsiTheme="majorBidi" w:cstheme="majorBidi"/>
          <w:i/>
          <w:iCs/>
        </w:rPr>
        <w:t xml:space="preserve">Montesquieu, De l’esprit des lois 1748 </w:t>
      </w:r>
    </w:p>
    <w:p w:rsidR="00170458" w:rsidRPr="00352C03" w:rsidRDefault="00170458" w:rsidP="00352C03">
      <w:pPr>
        <w:pStyle w:val="Default"/>
        <w:spacing w:after="200" w:line="360" w:lineRule="auto"/>
        <w:jc w:val="mediumKashida"/>
        <w:rPr>
          <w:rFonts w:asciiTheme="majorBidi" w:hAnsiTheme="majorBidi" w:cstheme="majorBidi"/>
          <w:i/>
          <w:iCs/>
        </w:rPr>
      </w:pPr>
    </w:p>
    <w:p w:rsidR="00170458" w:rsidRPr="00170458" w:rsidRDefault="00170458" w:rsidP="00170458">
      <w:pPr>
        <w:pStyle w:val="Default"/>
        <w:rPr>
          <w:rFonts w:asciiTheme="majorBidi" w:hAnsiTheme="majorBidi" w:cstheme="majorBidi"/>
          <w:color w:val="auto"/>
        </w:rPr>
      </w:pPr>
      <w:r w:rsidRPr="00170458">
        <w:rPr>
          <w:rFonts w:asciiTheme="majorBidi" w:hAnsiTheme="majorBidi" w:cstheme="majorBidi"/>
          <w:noProof/>
          <w:color w:val="auto"/>
          <w:lang w:eastAsia="fr-FR"/>
        </w:rPr>
        <w:drawing>
          <wp:inline distT="0" distB="0" distL="0" distR="0">
            <wp:extent cx="5170170" cy="2499360"/>
            <wp:effectExtent l="19050" t="0" r="0" b="0"/>
            <wp:docPr id="1" name="Image 1" descr="C:\Users\TOSHIBA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Captu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314" cy="250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58" w:rsidRPr="00170458" w:rsidRDefault="00170458" w:rsidP="00170458">
      <w:pPr>
        <w:rPr>
          <w:rFonts w:asciiTheme="majorBidi" w:hAnsiTheme="majorBidi" w:cstheme="majorBidi"/>
          <w:sz w:val="24"/>
          <w:szCs w:val="24"/>
        </w:rPr>
      </w:pPr>
    </w:p>
    <w:p w:rsidR="00170458" w:rsidRPr="00170458" w:rsidRDefault="00170458" w:rsidP="00170458">
      <w:pPr>
        <w:rPr>
          <w:rFonts w:asciiTheme="majorBidi" w:hAnsiTheme="majorBidi" w:cstheme="majorBidi"/>
          <w:sz w:val="24"/>
          <w:szCs w:val="24"/>
        </w:rPr>
      </w:pPr>
    </w:p>
    <w:p w:rsidR="00170458" w:rsidRPr="00170458" w:rsidRDefault="00170458" w:rsidP="00170458">
      <w:pPr>
        <w:pStyle w:val="Default"/>
        <w:spacing w:after="200"/>
        <w:ind w:firstLine="720"/>
        <w:jc w:val="both"/>
        <w:rPr>
          <w:rFonts w:asciiTheme="majorBidi" w:hAnsiTheme="majorBidi" w:cstheme="majorBidi"/>
        </w:rPr>
      </w:pPr>
      <w:r w:rsidRPr="00170458">
        <w:rPr>
          <w:rFonts w:asciiTheme="majorBidi" w:hAnsiTheme="majorBidi" w:cstheme="majorBidi"/>
          <w:b/>
          <w:bCs/>
        </w:rPr>
        <w:t>TD:</w:t>
      </w:r>
      <w:r w:rsidRPr="00170458">
        <w:rPr>
          <w:rFonts w:asciiTheme="majorBidi" w:hAnsiTheme="majorBidi" w:cstheme="majorBidi"/>
        </w:rPr>
        <w:t xml:space="preserve"> </w:t>
      </w:r>
      <w:r w:rsidRPr="00170458">
        <w:rPr>
          <w:rFonts w:asciiTheme="majorBidi" w:hAnsiTheme="majorBidi" w:cstheme="majorBidi"/>
          <w:b/>
          <w:bCs/>
        </w:rPr>
        <w:t xml:space="preserve">Expliquez l’argument </w:t>
      </w:r>
      <w:proofErr w:type="gramStart"/>
      <w:r w:rsidRPr="00170458">
        <w:rPr>
          <w:rFonts w:asciiTheme="majorBidi" w:hAnsiTheme="majorBidi" w:cstheme="majorBidi"/>
          <w:b/>
          <w:bCs/>
        </w:rPr>
        <w:t>suivante</w:t>
      </w:r>
      <w:proofErr w:type="gramEnd"/>
      <w:r w:rsidRPr="00170458">
        <w:rPr>
          <w:rFonts w:asciiTheme="majorBidi" w:hAnsiTheme="majorBidi" w:cstheme="majorBidi"/>
          <w:b/>
          <w:bCs/>
        </w:rPr>
        <w:t xml:space="preserve"> </w:t>
      </w:r>
    </w:p>
    <w:p w:rsidR="00170458" w:rsidRPr="00170458" w:rsidRDefault="00170458" w:rsidP="00170458">
      <w:pPr>
        <w:tabs>
          <w:tab w:val="left" w:pos="1032"/>
        </w:tabs>
        <w:rPr>
          <w:rFonts w:asciiTheme="majorBidi" w:hAnsiTheme="majorBidi" w:cstheme="majorBidi"/>
          <w:sz w:val="24"/>
          <w:szCs w:val="24"/>
        </w:rPr>
      </w:pPr>
      <w:r w:rsidRPr="00170458">
        <w:rPr>
          <w:rFonts w:asciiTheme="majorBidi" w:hAnsiTheme="majorBidi" w:cstheme="majorBidi"/>
          <w:sz w:val="24"/>
          <w:szCs w:val="24"/>
        </w:rPr>
        <w:t xml:space="preserve">   Ne me répète plus que le silence est d’or ! Si je t’avais écouté, j’aurais dû me taire alors que mon fils s’apprêtait à manger ce soir-là un champignon nocif !</w:t>
      </w:r>
    </w:p>
    <w:sectPr w:rsidR="00170458" w:rsidRPr="00170458" w:rsidSect="0029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08"/>
  <w:hyphenationZone w:val="425"/>
  <w:characterSpacingControl w:val="doNotCompress"/>
  <w:savePreviewPicture/>
  <w:compat/>
  <w:rsids>
    <w:rsidRoot w:val="00170458"/>
    <w:rsid w:val="00003747"/>
    <w:rsid w:val="00170458"/>
    <w:rsid w:val="002963EB"/>
    <w:rsid w:val="002A5CD5"/>
    <w:rsid w:val="00352C03"/>
    <w:rsid w:val="00355E92"/>
    <w:rsid w:val="005D1D25"/>
    <w:rsid w:val="008B2F2D"/>
    <w:rsid w:val="00A143C7"/>
    <w:rsid w:val="00C54F46"/>
    <w:rsid w:val="00FD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F46"/>
    <w:rPr>
      <w:rFonts w:ascii="Times New Roman" w:hAnsi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C54F4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54F4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54F4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3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37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37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37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37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37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4F46"/>
    <w:rPr>
      <w:rFonts w:ascii="Times New Roman" w:hAnsi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C54F46"/>
    <w:rPr>
      <w:rFonts w:ascii="Times New Roman" w:hAnsi="Times New Roman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C54F46"/>
    <w:rPr>
      <w:rFonts w:ascii="Times New Roman" w:hAnsi="Times New Roman"/>
      <w:b/>
      <w:bCs/>
      <w:sz w:val="27"/>
      <w:szCs w:val="27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03747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03747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03747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03747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037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037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3747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uiPriority w:val="1"/>
    <w:qFormat/>
    <w:rsid w:val="00C54F46"/>
    <w:pPr>
      <w:ind w:left="1309" w:right="1182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TitreCar">
    <w:name w:val="Titre Car"/>
    <w:basedOn w:val="Policepardfaut"/>
    <w:link w:val="Titre"/>
    <w:uiPriority w:val="1"/>
    <w:rsid w:val="00003747"/>
    <w:rPr>
      <w:rFonts w:ascii="Calibri" w:eastAsia="Calibri" w:hAnsi="Calibri" w:cs="Calibri"/>
      <w:b/>
      <w:bCs/>
      <w:sz w:val="72"/>
      <w:szCs w:val="7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37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037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character" w:styleId="lev">
    <w:name w:val="Strong"/>
    <w:uiPriority w:val="22"/>
    <w:qFormat/>
    <w:rsid w:val="00003747"/>
    <w:rPr>
      <w:b/>
      <w:bCs/>
    </w:rPr>
  </w:style>
  <w:style w:type="character" w:styleId="Accentuation">
    <w:name w:val="Emphasis"/>
    <w:uiPriority w:val="20"/>
    <w:qFormat/>
    <w:rsid w:val="00003747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003747"/>
  </w:style>
  <w:style w:type="character" w:customStyle="1" w:styleId="SansinterligneCar">
    <w:name w:val="Sans interligne Car"/>
    <w:basedOn w:val="Policepardfaut"/>
    <w:link w:val="Sansinterligne"/>
    <w:uiPriority w:val="1"/>
    <w:rsid w:val="00003747"/>
    <w:rPr>
      <w:rFonts w:ascii="Times New Roman" w:hAnsi="Times New Roman"/>
      <w:lang w:val="fr-FR"/>
    </w:rPr>
  </w:style>
  <w:style w:type="paragraph" w:styleId="Paragraphedeliste">
    <w:name w:val="List Paragraph"/>
    <w:basedOn w:val="Normal"/>
    <w:uiPriority w:val="1"/>
    <w:qFormat/>
    <w:rsid w:val="00C54F46"/>
    <w:pPr>
      <w:ind w:left="978" w:hanging="360"/>
    </w:pPr>
  </w:style>
  <w:style w:type="paragraph" w:styleId="Citation">
    <w:name w:val="Quote"/>
    <w:basedOn w:val="Normal"/>
    <w:next w:val="Normal"/>
    <w:link w:val="CitationCar"/>
    <w:uiPriority w:val="29"/>
    <w:qFormat/>
    <w:rsid w:val="000037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03747"/>
    <w:rPr>
      <w:rFonts w:ascii="Times New Roman" w:hAnsi="Times New Roman"/>
      <w:i/>
      <w:iCs/>
      <w:color w:val="000000" w:themeColor="tex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37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3747"/>
    <w:rPr>
      <w:rFonts w:ascii="Times New Roman" w:hAnsi="Times New Roman"/>
      <w:b/>
      <w:bCs/>
      <w:i/>
      <w:iCs/>
      <w:color w:val="4F81BD" w:themeColor="accent1"/>
      <w:lang w:val="fr-FR"/>
    </w:rPr>
  </w:style>
  <w:style w:type="character" w:styleId="Emphaseple">
    <w:name w:val="Subtle Emphasis"/>
    <w:uiPriority w:val="19"/>
    <w:qFormat/>
    <w:rsid w:val="00003747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003747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003747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00374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00374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3747"/>
    <w:pPr>
      <w:keepNext/>
      <w:keepLines/>
      <w:widowControl w:val="0"/>
      <w:autoSpaceDE w:val="0"/>
      <w:autoSpaceDN w:val="0"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C54F46"/>
    <w:rPr>
      <w:rFonts w:eastAsia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54F46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OC1">
    <w:name w:val="TOC 1"/>
    <w:basedOn w:val="Normal"/>
    <w:uiPriority w:val="1"/>
    <w:qFormat/>
    <w:rsid w:val="00C54F46"/>
    <w:pPr>
      <w:ind w:left="618"/>
    </w:pPr>
    <w:rPr>
      <w:rFonts w:eastAsia="Times New Roman" w:cs="Times New Roman"/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C54F46"/>
    <w:pPr>
      <w:spacing w:before="36"/>
      <w:ind w:left="1499" w:hanging="661"/>
    </w:pPr>
    <w:rPr>
      <w:rFonts w:eastAsia="Times New Roman" w:cs="Times New Roman"/>
      <w:sz w:val="24"/>
      <w:szCs w:val="24"/>
    </w:rPr>
  </w:style>
  <w:style w:type="paragraph" w:customStyle="1" w:styleId="TOC3">
    <w:name w:val="TOC 3"/>
    <w:basedOn w:val="Normal"/>
    <w:uiPriority w:val="1"/>
    <w:qFormat/>
    <w:rsid w:val="00C54F46"/>
    <w:pPr>
      <w:spacing w:before="41"/>
      <w:ind w:left="1079" w:hanging="181"/>
    </w:pPr>
    <w:rPr>
      <w:rFonts w:eastAsia="Times New Roman" w:cs="Times New Roman"/>
      <w:sz w:val="24"/>
      <w:szCs w:val="24"/>
    </w:rPr>
  </w:style>
  <w:style w:type="paragraph" w:customStyle="1" w:styleId="TOC4">
    <w:name w:val="TOC 4"/>
    <w:basedOn w:val="Normal"/>
    <w:uiPriority w:val="1"/>
    <w:qFormat/>
    <w:rsid w:val="00C54F46"/>
    <w:pPr>
      <w:spacing w:before="41"/>
      <w:ind w:left="1938" w:hanging="881"/>
    </w:pPr>
    <w:rPr>
      <w:rFonts w:eastAsia="Times New Roman" w:cs="Times New Roman"/>
      <w:sz w:val="24"/>
      <w:szCs w:val="24"/>
    </w:rPr>
  </w:style>
  <w:style w:type="paragraph" w:customStyle="1" w:styleId="TOC5">
    <w:name w:val="TOC 5"/>
    <w:basedOn w:val="Normal"/>
    <w:uiPriority w:val="1"/>
    <w:qFormat/>
    <w:rsid w:val="00C54F46"/>
    <w:pPr>
      <w:spacing w:before="43"/>
      <w:ind w:left="1154"/>
    </w:pPr>
    <w:rPr>
      <w:rFonts w:eastAsia="Times New Roman" w:cs="Times New Roman"/>
      <w:sz w:val="24"/>
      <w:szCs w:val="24"/>
    </w:rPr>
  </w:style>
  <w:style w:type="paragraph" w:customStyle="1" w:styleId="TOC6">
    <w:name w:val="TOC 6"/>
    <w:basedOn w:val="Normal"/>
    <w:uiPriority w:val="1"/>
    <w:qFormat/>
    <w:rsid w:val="00C54F46"/>
    <w:pPr>
      <w:spacing w:before="41"/>
      <w:ind w:left="1938" w:hanging="661"/>
    </w:pPr>
    <w:rPr>
      <w:rFonts w:eastAsia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54F46"/>
    <w:pPr>
      <w:spacing w:line="630" w:lineRule="exact"/>
      <w:ind w:left="1309" w:right="1189"/>
      <w:jc w:val="center"/>
      <w:outlineLvl w:val="1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Heading2">
    <w:name w:val="Heading 2"/>
    <w:basedOn w:val="Normal"/>
    <w:uiPriority w:val="1"/>
    <w:qFormat/>
    <w:rsid w:val="00C54F46"/>
    <w:pPr>
      <w:ind w:left="53" w:right="1251"/>
      <w:jc w:val="center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C54F46"/>
    <w:pPr>
      <w:ind w:left="1309" w:right="1190"/>
      <w:jc w:val="center"/>
      <w:outlineLvl w:val="3"/>
    </w:pPr>
    <w:rPr>
      <w:rFonts w:ascii="Bodoni MT" w:eastAsia="Bodoni MT" w:hAnsi="Bodoni MT" w:cs="Bodoni MT"/>
      <w:b/>
      <w:bCs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C54F46"/>
    <w:pPr>
      <w:spacing w:before="19"/>
      <w:ind w:left="618"/>
      <w:outlineLvl w:val="4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5">
    <w:name w:val="Heading 5"/>
    <w:basedOn w:val="Normal"/>
    <w:uiPriority w:val="1"/>
    <w:qFormat/>
    <w:rsid w:val="00C54F46"/>
    <w:pPr>
      <w:spacing w:before="213"/>
      <w:ind w:left="1326" w:hanging="646"/>
      <w:outlineLvl w:val="5"/>
    </w:pPr>
    <w:rPr>
      <w:rFonts w:ascii="Calibri" w:eastAsia="Calibri" w:hAnsi="Calibri" w:cs="Calibri"/>
      <w:b/>
      <w:bCs/>
      <w:i/>
      <w:sz w:val="28"/>
      <w:szCs w:val="28"/>
    </w:rPr>
  </w:style>
  <w:style w:type="paragraph" w:customStyle="1" w:styleId="Heading6">
    <w:name w:val="Heading 6"/>
    <w:basedOn w:val="Normal"/>
    <w:uiPriority w:val="1"/>
    <w:qFormat/>
    <w:rsid w:val="00C54F46"/>
    <w:pPr>
      <w:spacing w:before="169"/>
      <w:ind w:left="618" w:hanging="709"/>
      <w:outlineLvl w:val="6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7">
    <w:name w:val="Heading 7"/>
    <w:basedOn w:val="Normal"/>
    <w:uiPriority w:val="1"/>
    <w:qFormat/>
    <w:rsid w:val="00C54F46"/>
    <w:pPr>
      <w:ind w:left="616"/>
      <w:outlineLvl w:val="7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4F46"/>
    <w:rPr>
      <w:rFonts w:eastAsia="Times New Roman" w:cs="Times New Roman"/>
    </w:rPr>
  </w:style>
  <w:style w:type="paragraph" w:customStyle="1" w:styleId="Default">
    <w:name w:val="Default"/>
    <w:rsid w:val="0017045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4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458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2021-12-04T10:06:00Z</dcterms:created>
  <dcterms:modified xsi:type="dcterms:W3CDTF">2021-12-04T11:37:00Z</dcterms:modified>
</cp:coreProperties>
</file>