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01" w:rsidRPr="009B426C" w:rsidRDefault="005D1CE6" w:rsidP="00F1582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B460C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  <w:lang w:eastAsia="fr-FR"/>
        </w:rPr>
        <w:t>LA CHROMATOGRAPHIE SUR COUCHE MINCE</w:t>
      </w:r>
    </w:p>
    <w:p w:rsidR="00DB574C" w:rsidRPr="009B426C" w:rsidRDefault="00DB574C" w:rsidP="0039029E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AB460C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  <w:lang w:eastAsia="fr-FR"/>
        </w:rPr>
        <w:t>La CCM</w:t>
      </w:r>
      <w:r w:rsidRPr="009B426C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:</w:t>
      </w:r>
    </w:p>
    <w:p w:rsidR="00EA24E0" w:rsidRPr="009B426C" w:rsidRDefault="00EA24E0" w:rsidP="0039029E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B426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La chromatographie sur couche mince ou chromatographie planaire est une technique de </w:t>
      </w:r>
      <w:hyperlink r:id="rId7" w:tooltip="Chromatographie" w:history="1">
        <w:r w:rsidRPr="009B426C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chromatographie</w:t>
        </w:r>
      </w:hyperlink>
      <w:r w:rsidRPr="009B426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couramment utilisée pour séparer des composants dans un but d'analyse (CCM analytique) ou de purification (CCM préparative).</w:t>
      </w:r>
    </w:p>
    <w:p w:rsidR="005D1CE6" w:rsidRPr="009B426C" w:rsidRDefault="00EA24E0" w:rsidP="0039029E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B426C">
        <w:rPr>
          <w:rFonts w:asciiTheme="majorBidi" w:eastAsia="Times New Roman" w:hAnsiTheme="majorBidi" w:cstheme="majorBidi"/>
          <w:sz w:val="24"/>
          <w:szCs w:val="24"/>
          <w:lang w:eastAsia="fr-FR"/>
        </w:rPr>
        <w:t>Elle comprend :</w:t>
      </w:r>
    </w:p>
    <w:p w:rsidR="005D1CE6" w:rsidRPr="009B426C" w:rsidRDefault="00EA24E0" w:rsidP="0039029E">
      <w:pPr>
        <w:pStyle w:val="Paragraphedeliste"/>
        <w:numPr>
          <w:ilvl w:val="0"/>
          <w:numId w:val="7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B426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une </w:t>
      </w:r>
      <w:hyperlink r:id="rId8" w:tooltip="Phase stationnaire" w:history="1">
        <w:r w:rsidRPr="009B426C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phase stationnaire</w:t>
        </w:r>
      </w:hyperlink>
      <w:r w:rsidRPr="009B426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:</w:t>
      </w:r>
      <w:r w:rsidR="009B426C" w:rsidRPr="009B426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une couche mince de matériel ad</w:t>
      </w:r>
      <w:r w:rsidRPr="009B426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sorbant (usuellement du </w:t>
      </w:r>
      <w:hyperlink r:id="rId9" w:tooltip="Gel de silice" w:history="1">
        <w:r w:rsidRPr="009B426C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gel de silice</w:t>
        </w:r>
      </w:hyperlink>
      <w:r w:rsidRPr="009B426C">
        <w:rPr>
          <w:rFonts w:asciiTheme="majorBidi" w:eastAsia="Times New Roman" w:hAnsiTheme="majorBidi" w:cstheme="majorBidi"/>
          <w:sz w:val="24"/>
          <w:szCs w:val="24"/>
          <w:lang w:eastAsia="fr-FR"/>
        </w:rPr>
        <w:t>, de l'</w:t>
      </w:r>
      <w:hyperlink r:id="rId10" w:tooltip="Oxyde d'aluminium" w:history="1">
        <w:r w:rsidRPr="009B426C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oxyde d'aluminium</w:t>
        </w:r>
      </w:hyperlink>
      <w:r w:rsidRPr="009B426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ou de la </w:t>
      </w:r>
      <w:hyperlink r:id="rId11" w:tooltip="Cellulose" w:history="1">
        <w:r w:rsidRPr="009B426C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cellulose</w:t>
        </w:r>
      </w:hyperlink>
      <w:r w:rsidRPr="009B426C">
        <w:rPr>
          <w:rFonts w:asciiTheme="majorBidi" w:eastAsia="Times New Roman" w:hAnsiTheme="majorBidi" w:cstheme="majorBidi"/>
          <w:sz w:val="24"/>
          <w:szCs w:val="24"/>
          <w:lang w:eastAsia="fr-FR"/>
        </w:rPr>
        <w:t>)</w:t>
      </w:r>
    </w:p>
    <w:p w:rsidR="00EA24E0" w:rsidRPr="009B426C" w:rsidRDefault="00EA24E0" w:rsidP="0039029E">
      <w:pPr>
        <w:pStyle w:val="Paragraphedeliste"/>
        <w:numPr>
          <w:ilvl w:val="0"/>
          <w:numId w:val="7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B426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une </w:t>
      </w:r>
      <w:hyperlink r:id="rId12" w:tooltip="Chromatographie en phase liquide" w:history="1">
        <w:r w:rsidRPr="009B426C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phase liquide</w:t>
        </w:r>
      </w:hyperlink>
      <w:r w:rsidRPr="009B426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dite </w:t>
      </w:r>
      <w:hyperlink r:id="rId13" w:tooltip="Phase mobile" w:history="1">
        <w:r w:rsidRPr="009B426C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phase mobile</w:t>
        </w:r>
      </w:hyperlink>
      <w:r w:rsidRPr="009B426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ou </w:t>
      </w:r>
      <w:hyperlink r:id="rId14" w:tooltip="Éluant" w:history="1">
        <w:r w:rsidRPr="009B426C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éluant</w:t>
        </w:r>
      </w:hyperlink>
      <w:r w:rsidRPr="009B426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: un solvant ou un mélange de solvants qui va entraîner les composés à séparer le long de la phase stationnaire.</w:t>
      </w:r>
    </w:p>
    <w:p w:rsidR="00FD61E8" w:rsidRPr="009B426C" w:rsidRDefault="00EA24E0" w:rsidP="0039029E">
      <w:pPr>
        <w:pStyle w:val="NormalWeb"/>
        <w:spacing w:line="276" w:lineRule="auto"/>
        <w:jc w:val="both"/>
        <w:rPr>
          <w:rFonts w:asciiTheme="majorBidi" w:hAnsiTheme="majorBidi" w:cstheme="majorBidi"/>
        </w:rPr>
      </w:pPr>
      <w:r w:rsidRPr="009B426C">
        <w:rPr>
          <w:rFonts w:asciiTheme="majorBidi" w:hAnsiTheme="majorBidi" w:cstheme="majorBidi"/>
        </w:rPr>
        <w:t xml:space="preserve">La chromatographie sur couche mince (CCM) repose principalement sur des phénomènes d’adsorption : la phase mobile est un solvant ou un mélange de solvants, qui progresse le long d’une phase stationnaire fixée sur une plaque de verre ou sur une feuille semi-rigide de matière plastique ou d’aluminium. </w:t>
      </w:r>
      <w:r w:rsidR="005D1CE6" w:rsidRPr="009B426C">
        <w:rPr>
          <w:rFonts w:asciiTheme="majorBidi" w:hAnsiTheme="majorBidi" w:cstheme="majorBidi"/>
        </w:rPr>
        <w:t xml:space="preserve"> </w:t>
      </w:r>
      <w:r w:rsidRPr="009B426C">
        <w:rPr>
          <w:rFonts w:asciiTheme="majorBidi" w:hAnsiTheme="majorBidi" w:cstheme="majorBidi"/>
        </w:rPr>
        <w:t>Après que l’échantillon ait été déposé sur la phase stationnaire, les substances migrent à une vitesse qui dépen</w:t>
      </w:r>
      <w:r w:rsidR="00896462">
        <w:rPr>
          <w:rFonts w:asciiTheme="majorBidi" w:hAnsiTheme="majorBidi" w:cstheme="majorBidi"/>
        </w:rPr>
        <w:t xml:space="preserve">d de leur nature et de celle du </w:t>
      </w:r>
      <w:r w:rsidRPr="009B426C">
        <w:rPr>
          <w:rFonts w:asciiTheme="majorBidi" w:hAnsiTheme="majorBidi" w:cstheme="majorBidi"/>
        </w:rPr>
        <w:t>solvant.</w:t>
      </w:r>
    </w:p>
    <w:p w:rsidR="0064594E" w:rsidRPr="009B426C" w:rsidRDefault="00FD61E8" w:rsidP="00C2631B">
      <w:pPr>
        <w:pStyle w:val="NormalWeb"/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AB460C">
        <w:rPr>
          <w:rFonts w:asciiTheme="majorBidi" w:hAnsiTheme="majorBidi" w:cstheme="majorBidi"/>
          <w:b/>
          <w:bCs/>
          <w:highlight w:val="yellow"/>
        </w:rPr>
        <w:t>Les princ</w:t>
      </w:r>
      <w:r w:rsidR="00DA5827" w:rsidRPr="00AB460C">
        <w:rPr>
          <w:rFonts w:asciiTheme="majorBidi" w:hAnsiTheme="majorBidi" w:cstheme="majorBidi"/>
          <w:b/>
          <w:bCs/>
          <w:highlight w:val="yellow"/>
        </w:rPr>
        <w:t xml:space="preserve">ipaux éléments d’une CCM </w:t>
      </w:r>
      <w:r w:rsidRPr="00AB460C">
        <w:rPr>
          <w:rFonts w:asciiTheme="majorBidi" w:hAnsiTheme="majorBidi" w:cstheme="majorBidi"/>
          <w:b/>
          <w:bCs/>
          <w:highlight w:val="yellow"/>
        </w:rPr>
        <w:t>sont :</w:t>
      </w:r>
    </w:p>
    <w:p w:rsidR="00FD61E8" w:rsidRPr="009B426C" w:rsidRDefault="00FD61E8" w:rsidP="0039029E">
      <w:pPr>
        <w:pStyle w:val="Paragraphedeliste"/>
        <w:numPr>
          <w:ilvl w:val="0"/>
          <w:numId w:val="8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B426C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une cuve chromatographique :</w:t>
      </w:r>
      <w:r w:rsidRPr="009B426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un récipient habituellement en verre, de forme variable, fermé par un couvercle étanche.</w:t>
      </w:r>
    </w:p>
    <w:p w:rsidR="00F3770A" w:rsidRPr="009B426C" w:rsidRDefault="00FD61E8" w:rsidP="0039029E">
      <w:pPr>
        <w:pStyle w:val="Paragraphedeliste"/>
        <w:numPr>
          <w:ilvl w:val="0"/>
          <w:numId w:val="8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B426C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la phase stationnaire :</w:t>
      </w:r>
      <w:r w:rsidRPr="009B426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une couche d’environ 0,25 mm de gel de silice ou d’un autre adsorbant, fixée sur une plaque de verre, de plastique ou d’aluminium, à l’aide d’un liant comme le sulfate de calcium hydraté, l’amidon ou un polymère organique.</w:t>
      </w:r>
    </w:p>
    <w:p w:rsidR="00FD61E8" w:rsidRPr="009B426C" w:rsidRDefault="00FD61E8" w:rsidP="0039029E">
      <w:pPr>
        <w:pStyle w:val="Paragraphedeliste"/>
        <w:numPr>
          <w:ilvl w:val="0"/>
          <w:numId w:val="8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B426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9B426C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l’échantillon :</w:t>
      </w:r>
      <w:r w:rsidRPr="009B426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environ un microlitre de solution diluée (de 2 à 5 %) du mélange à analyser, déposé en un point repère situé au-dessus de la surface de l’éluant.</w:t>
      </w:r>
    </w:p>
    <w:p w:rsidR="00FD61E8" w:rsidRPr="009B426C" w:rsidRDefault="00FD61E8" w:rsidP="0039029E">
      <w:pPr>
        <w:pStyle w:val="Paragraphedeliste"/>
        <w:numPr>
          <w:ilvl w:val="0"/>
          <w:numId w:val="8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B426C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l’éluant (phase mobile) : </w:t>
      </w:r>
      <w:r w:rsidRPr="009B426C">
        <w:rPr>
          <w:rFonts w:asciiTheme="majorBidi" w:eastAsia="Times New Roman" w:hAnsiTheme="majorBidi" w:cstheme="majorBidi"/>
          <w:sz w:val="24"/>
          <w:szCs w:val="24"/>
          <w:lang w:eastAsia="fr-FR"/>
        </w:rPr>
        <w:t>un solvant pur ou un mélange.</w:t>
      </w:r>
    </w:p>
    <w:p w:rsidR="00DA5827" w:rsidRPr="009B426C" w:rsidRDefault="00DA5827" w:rsidP="0039029E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B426C">
        <w:rPr>
          <w:rFonts w:asciiTheme="majorBidi" w:eastAsia="Times New Roman" w:hAnsiTheme="majorBidi" w:cstheme="majorBidi"/>
          <w:sz w:val="24"/>
          <w:szCs w:val="24"/>
          <w:lang w:eastAsia="fr-FR"/>
        </w:rPr>
        <w:t>On a vu que le choix dépendait de la polarité. Voici le classement des principaux solvants par caractère polaire croissant.</w:t>
      </w:r>
    </w:p>
    <w:tbl>
      <w:tblPr>
        <w:tblW w:w="5328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1"/>
        <w:gridCol w:w="1207"/>
      </w:tblGrid>
      <w:tr w:rsidR="00DA5827" w:rsidRPr="009B426C" w:rsidTr="00C2631B">
        <w:trPr>
          <w:trHeight w:val="450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A5827" w:rsidRPr="009B426C" w:rsidRDefault="00DA5827" w:rsidP="0039029E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426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lastRenderedPageBreak/>
              <w:t xml:space="preserve">Ether de pétrole </w:t>
            </w:r>
          </w:p>
          <w:p w:rsidR="00DA5827" w:rsidRPr="009B426C" w:rsidRDefault="00DA5827" w:rsidP="0039029E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426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Cyclohexane </w:t>
            </w:r>
          </w:p>
          <w:p w:rsidR="00DA5827" w:rsidRPr="009B426C" w:rsidRDefault="00DA5827" w:rsidP="0039029E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426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Tétrachlorure de carbone </w:t>
            </w:r>
          </w:p>
          <w:p w:rsidR="00DA5827" w:rsidRPr="009B426C" w:rsidRDefault="00DA5827" w:rsidP="0039029E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426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Benzène </w:t>
            </w:r>
          </w:p>
          <w:p w:rsidR="00DA5827" w:rsidRPr="009B426C" w:rsidRDefault="00DA5827" w:rsidP="0039029E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426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Toluène </w:t>
            </w:r>
          </w:p>
          <w:p w:rsidR="00DA5827" w:rsidRPr="009B426C" w:rsidRDefault="00DA5827" w:rsidP="0039029E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426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Dichlorométhane </w:t>
            </w:r>
          </w:p>
          <w:p w:rsidR="00DA5827" w:rsidRPr="009B426C" w:rsidRDefault="00DA5827" w:rsidP="0039029E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426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Ether diéthylique </w:t>
            </w:r>
          </w:p>
          <w:p w:rsidR="00DA5827" w:rsidRPr="009B426C" w:rsidRDefault="00DA5827" w:rsidP="0039029E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426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Chloroforme </w:t>
            </w:r>
          </w:p>
          <w:p w:rsidR="00DA5827" w:rsidRPr="009B426C" w:rsidRDefault="00DA5827" w:rsidP="0039029E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426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Acétate d'éthyle </w:t>
            </w:r>
          </w:p>
          <w:p w:rsidR="00DA5827" w:rsidRPr="009B426C" w:rsidRDefault="00DA5827" w:rsidP="0039029E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426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Pyridine </w:t>
            </w:r>
          </w:p>
          <w:p w:rsidR="00DA5827" w:rsidRPr="009B426C" w:rsidRDefault="00DA5827" w:rsidP="0039029E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426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Acétone </w:t>
            </w:r>
          </w:p>
          <w:p w:rsidR="00DA5827" w:rsidRPr="009B426C" w:rsidRDefault="00DA5827" w:rsidP="0039029E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426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Ethanol </w:t>
            </w:r>
          </w:p>
          <w:p w:rsidR="00DA5827" w:rsidRPr="009B426C" w:rsidRDefault="00DA5827" w:rsidP="0039029E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426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Méthanol </w:t>
            </w:r>
          </w:p>
          <w:p w:rsidR="00DA5827" w:rsidRPr="009B426C" w:rsidRDefault="00DA5827" w:rsidP="0039029E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426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Eau </w:t>
            </w:r>
          </w:p>
          <w:p w:rsidR="00DA5827" w:rsidRPr="009B426C" w:rsidRDefault="00DA5827" w:rsidP="0039029E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426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Acide acétique </w:t>
            </w:r>
          </w:p>
        </w:tc>
        <w:tc>
          <w:tcPr>
            <w:tcW w:w="0" w:type="auto"/>
            <w:vAlign w:val="center"/>
            <w:hideMark/>
          </w:tcPr>
          <w:p w:rsidR="00DA5827" w:rsidRPr="009B426C" w:rsidRDefault="00DA5827" w:rsidP="0039029E">
            <w:pPr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426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Solvants </w:t>
            </w:r>
            <w:r w:rsidRPr="009B426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br/>
              <w:t>apolaires</w:t>
            </w:r>
            <w:r w:rsidRPr="009B426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</w:p>
          <w:p w:rsidR="00DA5827" w:rsidRPr="009B426C" w:rsidRDefault="0087283B" w:rsidP="0039029E">
            <w:p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fr-FR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8" type="#_x0000_t67" style="position:absolute;left:0;text-align:left;margin-left:15.05pt;margin-top:70.95pt;width:7.15pt;height:27pt;z-index:251659264">
                  <v:textbox style="layout-flow:vertical-ideographic"/>
                </v:shape>
              </w:pict>
            </w:r>
            <w:r w:rsidRPr="0087283B">
              <w:rPr>
                <w:rFonts w:asciiTheme="majorBidi" w:eastAsia="Times New Roman" w:hAnsiTheme="majorBidi" w:cstheme="majorBidi"/>
                <w:i/>
                <w:iCs/>
                <w:noProof/>
                <w:sz w:val="24"/>
                <w:szCs w:val="24"/>
                <w:lang w:eastAsia="fr-FR"/>
              </w:rPr>
              <w:pict>
                <v:shape id="_x0000_s1026" type="#_x0000_t67" style="position:absolute;left:0;text-align:left;margin-left:15pt;margin-top:.55pt;width:7.15pt;height:27pt;z-index:251658240">
                  <v:textbox style="layout-flow:vertical-ideographic"/>
                </v:shape>
              </w:pict>
            </w:r>
            <w:r w:rsidR="00DA5827" w:rsidRPr="009B426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="00DA5827" w:rsidRPr="009B426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br/>
            </w:r>
            <w:r w:rsidR="00DA5827" w:rsidRPr="009B426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Caractère</w:t>
            </w:r>
            <w:r w:rsidR="00DA5827" w:rsidRPr="009B426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br/>
              <w:t>polaire</w:t>
            </w:r>
            <w:r w:rsidR="00DA5827" w:rsidRPr="009B426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br/>
              <w:t>croissant</w:t>
            </w:r>
            <w:r w:rsidR="00DA5827" w:rsidRPr="009B426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br/>
            </w:r>
            <w:r w:rsidR="00DA5827" w:rsidRPr="009B426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</w:p>
          <w:p w:rsidR="00DA5827" w:rsidRPr="009B426C" w:rsidRDefault="00DA5827" w:rsidP="0039029E">
            <w:p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426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Solvants </w:t>
            </w:r>
            <w:r w:rsidRPr="009B426C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br/>
              <w:t>polaires</w:t>
            </w:r>
          </w:p>
        </w:tc>
      </w:tr>
    </w:tbl>
    <w:p w:rsidR="00F167AF" w:rsidRPr="009B426C" w:rsidRDefault="00F167AF" w:rsidP="0039029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460C">
        <w:rPr>
          <w:rFonts w:asciiTheme="majorBidi" w:hAnsiTheme="majorBidi" w:cstheme="majorBidi"/>
          <w:b/>
          <w:bCs/>
          <w:sz w:val="24"/>
          <w:szCs w:val="24"/>
          <w:highlight w:val="yellow"/>
        </w:rPr>
        <w:t>Principe de la technique :</w:t>
      </w:r>
    </w:p>
    <w:p w:rsidR="00F167AF" w:rsidRPr="009B426C" w:rsidRDefault="0064594E" w:rsidP="0039029E">
      <w:pPr>
        <w:jc w:val="both"/>
        <w:rPr>
          <w:rFonts w:asciiTheme="majorBidi" w:hAnsiTheme="majorBidi" w:cstheme="majorBidi"/>
          <w:sz w:val="24"/>
          <w:szCs w:val="24"/>
        </w:rPr>
      </w:pPr>
      <w:r w:rsidRPr="009B426C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F167AF" w:rsidRPr="009B426C">
        <w:rPr>
          <w:rFonts w:asciiTheme="majorBidi" w:hAnsiTheme="majorBidi" w:cstheme="majorBidi"/>
          <w:b/>
          <w:bCs/>
          <w:sz w:val="24"/>
          <w:szCs w:val="24"/>
        </w:rPr>
        <w:t>La préparation de l'échantillon</w:t>
      </w:r>
      <w:r w:rsidR="00F167AF" w:rsidRPr="009B426C">
        <w:rPr>
          <w:rFonts w:asciiTheme="majorBidi" w:hAnsiTheme="majorBidi" w:cstheme="majorBidi"/>
          <w:sz w:val="24"/>
          <w:szCs w:val="24"/>
        </w:rPr>
        <w:t xml:space="preserve"> se fait par l'intermédiaire de solvants volatils qui peut être différent de l'éluant. Les solvants les plus utilisés sont le chloroforme, la propanone et le dichlorométhane.</w:t>
      </w:r>
    </w:p>
    <w:p w:rsidR="00F167AF" w:rsidRPr="009B426C" w:rsidRDefault="0064594E" w:rsidP="0039029E">
      <w:pPr>
        <w:jc w:val="both"/>
        <w:rPr>
          <w:rFonts w:asciiTheme="majorBidi" w:hAnsiTheme="majorBidi" w:cstheme="majorBidi"/>
          <w:sz w:val="24"/>
          <w:szCs w:val="24"/>
        </w:rPr>
      </w:pPr>
      <w:r w:rsidRPr="009B426C">
        <w:rPr>
          <w:rFonts w:asciiTheme="majorBidi" w:hAnsiTheme="majorBidi" w:cstheme="majorBidi"/>
          <w:sz w:val="24"/>
          <w:szCs w:val="24"/>
        </w:rPr>
        <w:t>-</w:t>
      </w:r>
      <w:r w:rsidR="00F167AF" w:rsidRPr="009B426C">
        <w:rPr>
          <w:rFonts w:asciiTheme="majorBidi" w:hAnsiTheme="majorBidi" w:cstheme="majorBidi"/>
          <w:b/>
          <w:bCs/>
          <w:sz w:val="24"/>
          <w:szCs w:val="24"/>
        </w:rPr>
        <w:t xml:space="preserve">Le </w:t>
      </w:r>
      <w:r w:rsidR="000C43CE" w:rsidRPr="009B426C">
        <w:rPr>
          <w:rFonts w:asciiTheme="majorBidi" w:hAnsiTheme="majorBidi" w:cstheme="majorBidi"/>
          <w:b/>
          <w:bCs/>
          <w:sz w:val="24"/>
          <w:szCs w:val="24"/>
        </w:rPr>
        <w:t>dépôt</w:t>
      </w:r>
      <w:r w:rsidR="00F167AF" w:rsidRPr="009B426C">
        <w:rPr>
          <w:rFonts w:asciiTheme="majorBidi" w:hAnsiTheme="majorBidi" w:cstheme="majorBidi"/>
          <w:b/>
          <w:bCs/>
          <w:sz w:val="24"/>
          <w:szCs w:val="24"/>
        </w:rPr>
        <w:t xml:space="preserve"> de l'échantillon</w:t>
      </w:r>
      <w:r w:rsidR="00F167AF" w:rsidRPr="009B426C">
        <w:rPr>
          <w:rFonts w:asciiTheme="majorBidi" w:hAnsiTheme="majorBidi" w:cstheme="majorBidi"/>
          <w:sz w:val="24"/>
          <w:szCs w:val="24"/>
        </w:rPr>
        <w:t xml:space="preserve"> se fait en un point de la plaque situé à environ 1cm de la partie inférieure à l'aide d'une micropipette ou d'un tube capillaire en appuyant légèrement et </w:t>
      </w:r>
      <w:r w:rsidR="000C43CE" w:rsidRPr="009B426C">
        <w:rPr>
          <w:rFonts w:asciiTheme="majorBidi" w:hAnsiTheme="majorBidi" w:cstheme="majorBidi"/>
          <w:sz w:val="24"/>
          <w:szCs w:val="24"/>
        </w:rPr>
        <w:t>brièvement</w:t>
      </w:r>
      <w:r w:rsidR="00F167AF" w:rsidRPr="009B426C">
        <w:rPr>
          <w:rFonts w:asciiTheme="majorBidi" w:hAnsiTheme="majorBidi" w:cstheme="majorBidi"/>
          <w:sz w:val="24"/>
          <w:szCs w:val="24"/>
        </w:rPr>
        <w:t xml:space="preserve"> l'extrémité de la pipette sur la couche adsorbant. Le </w:t>
      </w:r>
      <w:r w:rsidR="000C43CE" w:rsidRPr="009B426C">
        <w:rPr>
          <w:rFonts w:asciiTheme="majorBidi" w:hAnsiTheme="majorBidi" w:cstheme="majorBidi"/>
          <w:sz w:val="24"/>
          <w:szCs w:val="24"/>
        </w:rPr>
        <w:t>dépôt</w:t>
      </w:r>
      <w:r w:rsidR="00F167AF" w:rsidRPr="009B426C">
        <w:rPr>
          <w:rFonts w:asciiTheme="majorBidi" w:hAnsiTheme="majorBidi" w:cstheme="majorBidi"/>
          <w:sz w:val="24"/>
          <w:szCs w:val="24"/>
        </w:rPr>
        <w:t xml:space="preserve"> ne doit pas dépasser 3mm de </w:t>
      </w:r>
      <w:r w:rsidR="000C43CE" w:rsidRPr="009B426C">
        <w:rPr>
          <w:rFonts w:asciiTheme="majorBidi" w:hAnsiTheme="majorBidi" w:cstheme="majorBidi"/>
          <w:sz w:val="24"/>
          <w:szCs w:val="24"/>
        </w:rPr>
        <w:t>diamètre</w:t>
      </w:r>
      <w:r w:rsidR="00F167AF" w:rsidRPr="009B426C">
        <w:rPr>
          <w:rFonts w:asciiTheme="majorBidi" w:hAnsiTheme="majorBidi" w:cstheme="majorBidi"/>
          <w:sz w:val="24"/>
          <w:szCs w:val="24"/>
        </w:rPr>
        <w:t>.</w:t>
      </w:r>
    </w:p>
    <w:p w:rsidR="00AB028E" w:rsidRDefault="0064594E" w:rsidP="00AB028E">
      <w:pPr>
        <w:jc w:val="both"/>
        <w:rPr>
          <w:rFonts w:asciiTheme="majorBidi" w:hAnsiTheme="majorBidi" w:cstheme="majorBidi"/>
          <w:sz w:val="24"/>
          <w:szCs w:val="24"/>
        </w:rPr>
      </w:pPr>
      <w:r w:rsidRPr="009B426C">
        <w:rPr>
          <w:rFonts w:asciiTheme="majorBidi" w:hAnsiTheme="majorBidi" w:cstheme="majorBidi"/>
          <w:sz w:val="24"/>
          <w:szCs w:val="24"/>
        </w:rPr>
        <w:t>-</w:t>
      </w:r>
      <w:r w:rsidR="00F167AF" w:rsidRPr="009B426C">
        <w:rPr>
          <w:rFonts w:asciiTheme="majorBidi" w:hAnsiTheme="majorBidi" w:cstheme="majorBidi"/>
          <w:b/>
          <w:bCs/>
          <w:sz w:val="24"/>
          <w:szCs w:val="24"/>
        </w:rPr>
        <w:t>Préparation de la cuve</w:t>
      </w:r>
      <w:r w:rsidR="00F167AF" w:rsidRPr="009B426C">
        <w:rPr>
          <w:rFonts w:asciiTheme="majorBidi" w:hAnsiTheme="majorBidi" w:cstheme="majorBidi"/>
          <w:sz w:val="24"/>
          <w:szCs w:val="24"/>
        </w:rPr>
        <w:t xml:space="preserve"> et </w:t>
      </w:r>
      <w:r w:rsidR="00F167AF" w:rsidRPr="009B426C">
        <w:rPr>
          <w:rFonts w:asciiTheme="majorBidi" w:hAnsiTheme="majorBidi" w:cstheme="majorBidi"/>
          <w:b/>
          <w:bCs/>
          <w:sz w:val="24"/>
          <w:szCs w:val="24"/>
        </w:rPr>
        <w:t>mise en place de la plaque</w:t>
      </w:r>
      <w:r w:rsidR="00AB028E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AB028E">
        <w:rPr>
          <w:rFonts w:asciiTheme="majorBidi" w:hAnsiTheme="majorBidi" w:cstheme="majorBidi"/>
          <w:sz w:val="24"/>
          <w:szCs w:val="24"/>
        </w:rPr>
        <w:t>:</w:t>
      </w:r>
    </w:p>
    <w:p w:rsidR="00F167AF" w:rsidRPr="009B426C" w:rsidRDefault="0064594E" w:rsidP="00B807E7">
      <w:pPr>
        <w:jc w:val="both"/>
        <w:rPr>
          <w:rFonts w:asciiTheme="majorBidi" w:hAnsiTheme="majorBidi" w:cstheme="majorBidi"/>
          <w:sz w:val="24"/>
          <w:szCs w:val="24"/>
        </w:rPr>
      </w:pPr>
      <w:r w:rsidRPr="009B426C">
        <w:rPr>
          <w:rFonts w:asciiTheme="majorBidi" w:hAnsiTheme="majorBidi" w:cstheme="majorBidi"/>
          <w:sz w:val="24"/>
          <w:szCs w:val="24"/>
        </w:rPr>
        <w:t>On</w:t>
      </w:r>
      <w:r w:rsidR="00F167AF" w:rsidRPr="009B426C">
        <w:rPr>
          <w:rFonts w:asciiTheme="majorBidi" w:hAnsiTheme="majorBidi" w:cstheme="majorBidi"/>
          <w:sz w:val="24"/>
          <w:szCs w:val="24"/>
        </w:rPr>
        <w:t xml:space="preserve"> verse l'éluant à environ 0,5 cm</w:t>
      </w:r>
      <w:r w:rsidR="000C43CE" w:rsidRPr="009B426C">
        <w:rPr>
          <w:rFonts w:asciiTheme="majorBidi" w:hAnsiTheme="majorBidi" w:cstheme="majorBidi"/>
          <w:sz w:val="24"/>
          <w:szCs w:val="24"/>
        </w:rPr>
        <w:t xml:space="preserve"> </w:t>
      </w:r>
      <w:r w:rsidR="00F167AF" w:rsidRPr="009B426C">
        <w:rPr>
          <w:rFonts w:asciiTheme="majorBidi" w:hAnsiTheme="majorBidi" w:cstheme="majorBidi"/>
          <w:sz w:val="24"/>
          <w:szCs w:val="24"/>
        </w:rPr>
        <w:t xml:space="preserve">du fond de la cuve. </w:t>
      </w:r>
      <w:r w:rsidR="000C43CE" w:rsidRPr="009B426C">
        <w:rPr>
          <w:rFonts w:asciiTheme="majorBidi" w:hAnsiTheme="majorBidi" w:cstheme="majorBidi"/>
          <w:sz w:val="24"/>
          <w:szCs w:val="24"/>
        </w:rPr>
        <w:t>La</w:t>
      </w:r>
      <w:r w:rsidR="00F167AF" w:rsidRPr="009B426C">
        <w:rPr>
          <w:rFonts w:asciiTheme="majorBidi" w:hAnsiTheme="majorBidi" w:cstheme="majorBidi"/>
          <w:sz w:val="24"/>
          <w:szCs w:val="24"/>
        </w:rPr>
        <w:t xml:space="preserve"> plaque est ensuite placée en position verticale dans la cuve et l'éluant qui en recouvre le fond monte par capillarité. </w:t>
      </w:r>
      <w:r w:rsidR="00B807E7">
        <w:rPr>
          <w:rFonts w:asciiTheme="majorBidi" w:hAnsiTheme="majorBidi" w:cstheme="majorBidi"/>
          <w:sz w:val="24"/>
          <w:szCs w:val="24"/>
        </w:rPr>
        <w:t>O</w:t>
      </w:r>
      <w:r w:rsidR="00F167AF" w:rsidRPr="009B426C">
        <w:rPr>
          <w:rFonts w:asciiTheme="majorBidi" w:hAnsiTheme="majorBidi" w:cstheme="majorBidi"/>
          <w:sz w:val="24"/>
          <w:szCs w:val="24"/>
        </w:rPr>
        <w:t>n ferme la cuve de manière à former un environnement saturant de vapeur afin d'éviter l'évaporation de l'éluant lors de son ascension le long de la plaque.</w:t>
      </w:r>
    </w:p>
    <w:p w:rsidR="00F167AF" w:rsidRPr="009B426C" w:rsidRDefault="0064594E" w:rsidP="0039029E">
      <w:pPr>
        <w:jc w:val="both"/>
        <w:rPr>
          <w:rFonts w:asciiTheme="majorBidi" w:hAnsiTheme="majorBidi" w:cstheme="majorBidi"/>
          <w:sz w:val="24"/>
          <w:szCs w:val="24"/>
        </w:rPr>
      </w:pPr>
      <w:r w:rsidRPr="009B426C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F167AF" w:rsidRPr="009B426C">
        <w:rPr>
          <w:rFonts w:asciiTheme="majorBidi" w:hAnsiTheme="majorBidi" w:cstheme="majorBidi"/>
          <w:b/>
          <w:bCs/>
          <w:sz w:val="24"/>
          <w:szCs w:val="24"/>
        </w:rPr>
        <w:t>La migration:</w:t>
      </w:r>
      <w:r w:rsidR="00F167AF" w:rsidRPr="009B426C">
        <w:rPr>
          <w:rFonts w:asciiTheme="majorBidi" w:hAnsiTheme="majorBidi" w:cstheme="majorBidi"/>
          <w:sz w:val="24"/>
          <w:szCs w:val="24"/>
        </w:rPr>
        <w:t xml:space="preserve"> pendant la migration, la cuve doit demeurer fermée et ne pas être déplacée. Lorsque la position du front du solvant arrive à environ 1cm de l'extrémité supérieure, la plaque est retirée de la cuve, le niveau atteint par le solvant est marqué par un trait fin, puis la plaque est séchée à l'air libre ou à l'aide d'un séchoir.</w:t>
      </w:r>
    </w:p>
    <w:p w:rsidR="000C43CE" w:rsidRPr="009B426C" w:rsidRDefault="000C43CE" w:rsidP="0039029E">
      <w:pPr>
        <w:spacing w:after="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AB460C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  <w:lang w:eastAsia="fr-FR"/>
        </w:rPr>
        <w:t>La révélation</w:t>
      </w:r>
      <w:r w:rsidR="0064594E" w:rsidRPr="00AB460C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  <w:lang w:eastAsia="fr-FR"/>
        </w:rPr>
        <w:t> :</w:t>
      </w:r>
      <w:r w:rsidRPr="009B426C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</w:p>
    <w:p w:rsidR="000C43CE" w:rsidRDefault="000C43CE" w:rsidP="0039029E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B426C">
        <w:rPr>
          <w:rFonts w:asciiTheme="majorBidi" w:eastAsia="Times New Roman" w:hAnsiTheme="majorBidi" w:cstheme="majorBidi"/>
          <w:sz w:val="24"/>
          <w:szCs w:val="24"/>
          <w:lang w:eastAsia="fr-FR"/>
        </w:rPr>
        <w:t>Lorsque les composants de l’échantillon analysé sont colorés, leur séparation est facilement observable sur la plaque ; dans le cas contraire, on doit re</w:t>
      </w:r>
      <w:r w:rsidR="0064594E" w:rsidRPr="009B426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ndre les taches visibles par un </w:t>
      </w:r>
      <w:r w:rsidRPr="009B426C">
        <w:rPr>
          <w:rFonts w:asciiTheme="majorBidi" w:eastAsia="Times New Roman" w:hAnsiTheme="majorBidi" w:cstheme="majorBidi"/>
          <w:sz w:val="24"/>
          <w:szCs w:val="24"/>
          <w:lang w:eastAsia="fr-FR"/>
        </w:rPr>
        <w:t>procédé de révélation. Les taches seront ensuite entourées au crayon.</w:t>
      </w:r>
    </w:p>
    <w:p w:rsidR="000C43CE" w:rsidRPr="009B426C" w:rsidRDefault="000C43CE" w:rsidP="0039029E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B426C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1</w:t>
      </w:r>
      <w:r w:rsidRPr="00AB460C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  <w:lang w:eastAsia="fr-FR"/>
        </w:rPr>
        <w:t>. Révélation UV</w:t>
      </w:r>
      <w:r w:rsidR="00C2631B" w:rsidRPr="00AB460C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  <w:lang w:eastAsia="fr-FR"/>
        </w:rPr>
        <w:t> :</w:t>
      </w:r>
    </w:p>
    <w:p w:rsidR="00616CF0" w:rsidRDefault="000C43CE" w:rsidP="00616CF0">
      <w:pPr>
        <w:pStyle w:val="Paragraphedeliste"/>
        <w:numPr>
          <w:ilvl w:val="0"/>
          <w:numId w:val="12"/>
        </w:numPr>
        <w:spacing w:beforeAutospacing="1" w:after="100" w:afterAutospacing="1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16CF0">
        <w:rPr>
          <w:rFonts w:asciiTheme="majorBidi" w:eastAsia="Times New Roman" w:hAnsiTheme="majorBidi" w:cstheme="majorBidi"/>
          <w:sz w:val="24"/>
          <w:szCs w:val="24"/>
          <w:lang w:eastAsia="fr-FR"/>
        </w:rPr>
        <w:lastRenderedPageBreak/>
        <w:t xml:space="preserve">Si la plaque est fluorescente, sous une lampe UV, toute la plaque apparaît verte sauf là où sont les taches que l'on entoure au crayon. </w:t>
      </w:r>
    </w:p>
    <w:p w:rsidR="000C43CE" w:rsidRPr="00616CF0" w:rsidRDefault="000C43CE" w:rsidP="00616CF0">
      <w:pPr>
        <w:pStyle w:val="Paragraphedeliste"/>
        <w:numPr>
          <w:ilvl w:val="0"/>
          <w:numId w:val="12"/>
        </w:numPr>
        <w:spacing w:beforeAutospacing="1" w:after="100" w:afterAutospacing="1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16CF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Les dérivés aromatiques absorbent dans l'UV. Placer la plaque sous une lampe UV et entourer les taches </w:t>
      </w:r>
      <w:r w:rsidR="0064594E" w:rsidRPr="00616CF0">
        <w:rPr>
          <w:rFonts w:asciiTheme="majorBidi" w:eastAsia="Times New Roman" w:hAnsiTheme="majorBidi" w:cstheme="majorBidi"/>
          <w:sz w:val="24"/>
          <w:szCs w:val="24"/>
          <w:lang w:eastAsia="fr-FR"/>
        </w:rPr>
        <w:t>colorées</w:t>
      </w:r>
      <w:r w:rsidRPr="00616CF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</w:t>
      </w:r>
    </w:p>
    <w:p w:rsidR="00616CF0" w:rsidRDefault="0064594E" w:rsidP="00616CF0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B426C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2</w:t>
      </w:r>
      <w:r w:rsidRPr="00AB460C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  <w:lang w:eastAsia="fr-FR"/>
        </w:rPr>
        <w:t>.</w:t>
      </w:r>
      <w:r w:rsidR="000C43CE" w:rsidRPr="00AB460C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  <w:lang w:eastAsia="fr-FR"/>
        </w:rPr>
        <w:t xml:space="preserve"> Révélation à l'iode</w:t>
      </w:r>
      <w:r w:rsidR="00C2631B" w:rsidRPr="009B426C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 : </w:t>
      </w:r>
      <w:r w:rsidR="000C43CE" w:rsidRPr="009B426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Beaucoup de composés organiques forment des taches jaune-marron en présence d'iode. </w:t>
      </w:r>
    </w:p>
    <w:p w:rsidR="000C43CE" w:rsidRPr="009B426C" w:rsidRDefault="000C43CE" w:rsidP="00616CF0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B426C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3. </w:t>
      </w:r>
      <w:r w:rsidRPr="00AB460C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  <w:lang w:eastAsia="fr-FR"/>
        </w:rPr>
        <w:t>Révélation par atomisation</w:t>
      </w:r>
      <w:r w:rsidR="00C2631B" w:rsidRPr="009B426C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:</w:t>
      </w:r>
      <w:r w:rsidR="00C2631B" w:rsidRPr="009B426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9B426C">
        <w:rPr>
          <w:rFonts w:asciiTheme="majorBidi" w:eastAsia="Times New Roman" w:hAnsiTheme="majorBidi" w:cstheme="majorBidi"/>
          <w:sz w:val="24"/>
          <w:szCs w:val="24"/>
          <w:lang w:eastAsia="fr-FR"/>
        </w:rPr>
        <w:t>Cette technique utilise un atomiseur contenant le révélateur en solution. Selon le produit à révéler, la solution peut-être :</w:t>
      </w:r>
    </w:p>
    <w:p w:rsidR="000C43CE" w:rsidRPr="009B426C" w:rsidRDefault="000C43CE" w:rsidP="0039029E">
      <w:pPr>
        <w:pStyle w:val="Paragraphedeliste"/>
        <w:numPr>
          <w:ilvl w:val="0"/>
          <w:numId w:val="11"/>
        </w:numPr>
        <w:spacing w:beforeAutospacing="1" w:after="100" w:afterAutospacing="1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B426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Ninhydrine pour les acides aminés (taches violettes qui brunissent pour disparaître en quelques jours) </w:t>
      </w:r>
    </w:p>
    <w:p w:rsidR="0039029E" w:rsidRPr="009B426C" w:rsidRDefault="000C43CE" w:rsidP="0039029E">
      <w:pPr>
        <w:pStyle w:val="Paragraphedeliste"/>
        <w:numPr>
          <w:ilvl w:val="0"/>
          <w:numId w:val="11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B426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Acide sulfurique à 50% pour à peu près tout (taches noires). </w:t>
      </w:r>
    </w:p>
    <w:p w:rsidR="0064594E" w:rsidRPr="009B426C" w:rsidRDefault="000C43CE" w:rsidP="0039029E">
      <w:pPr>
        <w:pStyle w:val="Paragraphedeliste"/>
        <w:numPr>
          <w:ilvl w:val="0"/>
          <w:numId w:val="11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B426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On utilise aussi des mélanges complexes d'oxyde de molybdène en présence de sulfate de cérium. </w:t>
      </w:r>
    </w:p>
    <w:p w:rsidR="0039029E" w:rsidRPr="009B426C" w:rsidRDefault="0064594E" w:rsidP="0039029E">
      <w:pPr>
        <w:spacing w:after="24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AB460C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  <w:lang w:eastAsia="fr-FR"/>
        </w:rPr>
        <w:t>Rapport frontal :</w:t>
      </w:r>
      <w:r w:rsidRPr="0064594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</w:p>
    <w:p w:rsidR="0064594E" w:rsidRPr="0064594E" w:rsidRDefault="0064594E" w:rsidP="0039029E">
      <w:pPr>
        <w:spacing w:after="24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4594E">
        <w:rPr>
          <w:rFonts w:asciiTheme="majorBidi" w:eastAsia="Times New Roman" w:hAnsiTheme="majorBidi" w:cstheme="majorBidi"/>
          <w:sz w:val="24"/>
          <w:szCs w:val="24"/>
          <w:lang w:eastAsia="fr-FR"/>
        </w:rPr>
        <w:t>On appelle rapport frontal, R</w:t>
      </w:r>
      <w:r w:rsidRPr="0064594E">
        <w:rPr>
          <w:rFonts w:asciiTheme="majorBidi" w:eastAsia="Times New Roman" w:hAnsiTheme="majorBidi" w:cstheme="majorBidi"/>
          <w:sz w:val="24"/>
          <w:szCs w:val="24"/>
          <w:vertAlign w:val="subscript"/>
          <w:lang w:eastAsia="fr-FR"/>
        </w:rPr>
        <w:t>F</w:t>
      </w:r>
      <w:r w:rsidR="0039029E" w:rsidRPr="009B426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(ou référence front), le rapport suivant :</w:t>
      </w:r>
    </w:p>
    <w:tbl>
      <w:tblPr>
        <w:tblW w:w="7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682"/>
      </w:tblGrid>
      <w:tr w:rsidR="0064594E" w:rsidRPr="0064594E" w:rsidTr="0039029E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94E" w:rsidRPr="0064594E" w:rsidRDefault="0064594E" w:rsidP="0039029E">
            <w:pPr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459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Distance parcourue par le soluté / Distance parcourue par le solvant</w:t>
            </w:r>
          </w:p>
        </w:tc>
      </w:tr>
    </w:tbl>
    <w:p w:rsidR="0039029E" w:rsidRPr="0064594E" w:rsidRDefault="0064594E" w:rsidP="0039029E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4594E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</w:r>
      <w:r w:rsidR="0039029E" w:rsidRPr="0064594E">
        <w:rPr>
          <w:rFonts w:asciiTheme="majorBidi" w:eastAsia="Times New Roman" w:hAnsiTheme="majorBidi" w:cstheme="majorBidi"/>
          <w:sz w:val="24"/>
          <w:szCs w:val="24"/>
          <w:lang w:eastAsia="fr-FR"/>
        </w:rPr>
        <w:t>Le rapport frontal est donc égal à :</w:t>
      </w:r>
    </w:p>
    <w:p w:rsidR="0039029E" w:rsidRPr="009B426C" w:rsidRDefault="0039029E" w:rsidP="0039029E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B426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894116" cy="375557"/>
            <wp:effectExtent l="19050" t="0" r="0" b="0"/>
            <wp:docPr id="2" name="Image 8" descr="http://www.123bio.net/cours/chromato/images/r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123bio.net/cours/chromato/images/rf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7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94E" w:rsidRPr="0064594E" w:rsidRDefault="0039029E" w:rsidP="0039029E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B426C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  <w:t>Un soluté très soluble dans la phase fixe aura un R</w:t>
      </w:r>
      <w:r w:rsidRPr="009B426C">
        <w:rPr>
          <w:rFonts w:asciiTheme="majorBidi" w:eastAsia="Times New Roman" w:hAnsiTheme="majorBidi" w:cstheme="majorBidi"/>
          <w:sz w:val="24"/>
          <w:szCs w:val="24"/>
          <w:vertAlign w:val="subscript"/>
          <w:lang w:eastAsia="fr-FR"/>
        </w:rPr>
        <w:t>F</w:t>
      </w:r>
      <w:r w:rsidRPr="009B426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faible ; très soluble dans la phase mobile, son R</w:t>
      </w:r>
      <w:r w:rsidRPr="00A13034">
        <w:rPr>
          <w:rFonts w:asciiTheme="majorBidi" w:eastAsia="Times New Roman" w:hAnsiTheme="majorBidi" w:cstheme="majorBidi"/>
          <w:sz w:val="24"/>
          <w:szCs w:val="24"/>
          <w:vertAlign w:val="subscript"/>
          <w:lang w:eastAsia="fr-FR"/>
        </w:rPr>
        <w:t>F</w:t>
      </w:r>
      <w:r w:rsidRPr="009B426C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sera élevé et proche de 1.</w:t>
      </w:r>
    </w:p>
    <w:p w:rsidR="0064594E" w:rsidRPr="009B426C" w:rsidRDefault="0064594E" w:rsidP="00C2631B">
      <w:pPr>
        <w:spacing w:after="0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B426C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317640" cy="2952750"/>
            <wp:effectExtent l="19050" t="0" r="6710" b="0"/>
            <wp:docPr id="6" name="Image 6" descr="http://www.123bio.net/cours/chromato/images/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123bio.net/cours/chromato/images/rf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64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594E" w:rsidRPr="009B426C" w:rsidSect="00557E41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64E" w:rsidRDefault="00D7764E" w:rsidP="00A45AEF">
      <w:pPr>
        <w:spacing w:after="0" w:line="240" w:lineRule="auto"/>
      </w:pPr>
      <w:r>
        <w:separator/>
      </w:r>
    </w:p>
  </w:endnote>
  <w:endnote w:type="continuationSeparator" w:id="1">
    <w:p w:rsidR="00D7764E" w:rsidRDefault="00D7764E" w:rsidP="00A45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0734"/>
      <w:docPartObj>
        <w:docPartGallery w:val="Page Numbers (Bottom of Page)"/>
        <w:docPartUnique/>
      </w:docPartObj>
    </w:sdtPr>
    <w:sdtContent>
      <w:p w:rsidR="00A45AEF" w:rsidRDefault="0087283B">
        <w:pPr>
          <w:pStyle w:val="Pieddepage"/>
          <w:jc w:val="right"/>
        </w:pPr>
        <w:fldSimple w:instr=" PAGE   \* MERGEFORMAT ">
          <w:r w:rsidR="00AB460C">
            <w:rPr>
              <w:noProof/>
            </w:rPr>
            <w:t>2</w:t>
          </w:r>
        </w:fldSimple>
      </w:p>
    </w:sdtContent>
  </w:sdt>
  <w:p w:rsidR="00A45AEF" w:rsidRPr="009B426C" w:rsidRDefault="009B426C">
    <w:pPr>
      <w:pStyle w:val="Pieddepage"/>
      <w:rPr>
        <w:rFonts w:asciiTheme="majorBidi" w:hAnsiTheme="majorBidi" w:cstheme="majorBidi"/>
        <w:b/>
        <w:bCs/>
        <w:sz w:val="20"/>
        <w:szCs w:val="20"/>
      </w:rPr>
    </w:pPr>
    <w:r w:rsidRPr="009B426C">
      <w:rPr>
        <w:rFonts w:asciiTheme="majorBidi" w:hAnsiTheme="majorBidi" w:cstheme="majorBidi"/>
        <w:b/>
        <w:bCs/>
        <w:sz w:val="20"/>
        <w:szCs w:val="20"/>
      </w:rPr>
      <w:t>BOUCHERIT 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64E" w:rsidRDefault="00D7764E" w:rsidP="00A45AEF">
      <w:pPr>
        <w:spacing w:after="0" w:line="240" w:lineRule="auto"/>
      </w:pPr>
      <w:r>
        <w:separator/>
      </w:r>
    </w:p>
  </w:footnote>
  <w:footnote w:type="continuationSeparator" w:id="1">
    <w:p w:rsidR="00D7764E" w:rsidRDefault="00D7764E" w:rsidP="00A45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A90" w:rsidRPr="00A36030" w:rsidRDefault="00A45AEF" w:rsidP="00482A90">
    <w:pPr>
      <w:ind w:left="360"/>
      <w:rPr>
        <w:rFonts w:ascii="Trebuchet MS" w:hAnsi="Trebuchet MS"/>
        <w:b/>
        <w:bCs/>
      </w:rPr>
    </w:pPr>
    <w:r w:rsidRPr="00A45AEF">
      <w:rPr>
        <w:rFonts w:asciiTheme="majorBidi" w:hAnsiTheme="majorBidi" w:cstheme="majorBidi"/>
        <w:b/>
        <w:bCs/>
        <w:sz w:val="20"/>
        <w:szCs w:val="20"/>
      </w:rPr>
      <w:t>Technologie</w:t>
    </w:r>
    <w:r w:rsidR="00AB028E">
      <w:rPr>
        <w:rFonts w:asciiTheme="majorBidi" w:hAnsiTheme="majorBidi" w:cstheme="majorBidi"/>
        <w:b/>
        <w:bCs/>
        <w:sz w:val="20"/>
        <w:szCs w:val="20"/>
      </w:rPr>
      <w:t xml:space="preserve">s de la Biochimie   </w:t>
    </w:r>
    <w:r>
      <w:rPr>
        <w:rFonts w:asciiTheme="majorBidi" w:hAnsiTheme="majorBidi" w:cstheme="majorBidi"/>
        <w:b/>
        <w:bCs/>
        <w:sz w:val="20"/>
        <w:szCs w:val="20"/>
      </w:rPr>
      <w:t xml:space="preserve">                                  </w:t>
    </w:r>
    <w:r w:rsidR="00482A90">
      <w:rPr>
        <w:rFonts w:asciiTheme="majorBidi" w:hAnsiTheme="majorBidi" w:cstheme="majorBidi"/>
        <w:b/>
        <w:bCs/>
        <w:sz w:val="20"/>
        <w:szCs w:val="20"/>
      </w:rPr>
      <w:t xml:space="preserve">          </w:t>
    </w:r>
    <w:r w:rsidR="00482A90" w:rsidRPr="00482A90">
      <w:rPr>
        <w:rFonts w:asciiTheme="majorBidi" w:hAnsiTheme="majorBidi" w:cstheme="majorBidi"/>
        <w:b/>
        <w:bCs/>
        <w:sz w:val="20"/>
        <w:szCs w:val="20"/>
      </w:rPr>
      <w:t>CHAPITRE II : Méthodes de fractionnement</w:t>
    </w:r>
    <w:r w:rsidR="00482A90">
      <w:rPr>
        <w:rFonts w:ascii="Trebuchet MS" w:hAnsi="Trebuchet MS"/>
        <w:b/>
        <w:bCs/>
      </w:rPr>
      <w:t xml:space="preserve"> </w:t>
    </w:r>
  </w:p>
  <w:p w:rsidR="00A45AEF" w:rsidRPr="00A45AEF" w:rsidRDefault="00A45AEF" w:rsidP="00482A90">
    <w:pPr>
      <w:pStyle w:val="En-tte"/>
      <w:rPr>
        <w:rFonts w:asciiTheme="majorBidi" w:hAnsiTheme="majorBidi" w:cstheme="majorBidi"/>
        <w:b/>
        <w:bCs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3147"/>
    <w:multiLevelType w:val="hybridMultilevel"/>
    <w:tmpl w:val="D7C40B26"/>
    <w:lvl w:ilvl="0" w:tplc="1C2AEA12">
      <w:start w:val="1"/>
      <w:numFmt w:val="decimal"/>
      <w:lvlText w:val="%1."/>
      <w:lvlJc w:val="left"/>
      <w:pPr>
        <w:ind w:left="765" w:hanging="360"/>
      </w:pPr>
      <w:rPr>
        <w:rFonts w:asciiTheme="majorBidi" w:eastAsia="Times New Roman" w:hAnsiTheme="majorBidi" w:cstheme="majorBidi"/>
        <w:b/>
        <w:bCs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DD2635A"/>
    <w:multiLevelType w:val="hybridMultilevel"/>
    <w:tmpl w:val="7CBA74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C75E9"/>
    <w:multiLevelType w:val="hybridMultilevel"/>
    <w:tmpl w:val="5B240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E5078"/>
    <w:multiLevelType w:val="multilevel"/>
    <w:tmpl w:val="C7B0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02CC6"/>
    <w:multiLevelType w:val="multilevel"/>
    <w:tmpl w:val="B3C2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367CEA"/>
    <w:multiLevelType w:val="multilevel"/>
    <w:tmpl w:val="EEFE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C037B9"/>
    <w:multiLevelType w:val="hybridMultilevel"/>
    <w:tmpl w:val="D3B42A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E7C4B"/>
    <w:multiLevelType w:val="multilevel"/>
    <w:tmpl w:val="71C0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0145ED"/>
    <w:multiLevelType w:val="multilevel"/>
    <w:tmpl w:val="8C8C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FC016B"/>
    <w:multiLevelType w:val="multilevel"/>
    <w:tmpl w:val="19C6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C6641C"/>
    <w:multiLevelType w:val="multilevel"/>
    <w:tmpl w:val="A78C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C11355"/>
    <w:multiLevelType w:val="multilevel"/>
    <w:tmpl w:val="AAD4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4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4E0"/>
    <w:rsid w:val="000C43CE"/>
    <w:rsid w:val="001D23CF"/>
    <w:rsid w:val="00217474"/>
    <w:rsid w:val="002B2597"/>
    <w:rsid w:val="0039029E"/>
    <w:rsid w:val="00420A6B"/>
    <w:rsid w:val="00482A90"/>
    <w:rsid w:val="004F5B85"/>
    <w:rsid w:val="0052022B"/>
    <w:rsid w:val="00557E41"/>
    <w:rsid w:val="005D1CE6"/>
    <w:rsid w:val="00616CF0"/>
    <w:rsid w:val="0064594E"/>
    <w:rsid w:val="00745926"/>
    <w:rsid w:val="00767E08"/>
    <w:rsid w:val="0087283B"/>
    <w:rsid w:val="00896462"/>
    <w:rsid w:val="008B60A6"/>
    <w:rsid w:val="008F35A7"/>
    <w:rsid w:val="009B426C"/>
    <w:rsid w:val="00A13034"/>
    <w:rsid w:val="00A26865"/>
    <w:rsid w:val="00A45AEF"/>
    <w:rsid w:val="00AA0709"/>
    <w:rsid w:val="00AA55E9"/>
    <w:rsid w:val="00AB028E"/>
    <w:rsid w:val="00AB460C"/>
    <w:rsid w:val="00B807E7"/>
    <w:rsid w:val="00B80ADE"/>
    <w:rsid w:val="00C12427"/>
    <w:rsid w:val="00C2631B"/>
    <w:rsid w:val="00C461B0"/>
    <w:rsid w:val="00CB7399"/>
    <w:rsid w:val="00CC2A45"/>
    <w:rsid w:val="00D7764E"/>
    <w:rsid w:val="00DA5827"/>
    <w:rsid w:val="00DB574C"/>
    <w:rsid w:val="00E50EC2"/>
    <w:rsid w:val="00EA24E0"/>
    <w:rsid w:val="00ED1500"/>
    <w:rsid w:val="00EE01FB"/>
    <w:rsid w:val="00F1582D"/>
    <w:rsid w:val="00F167AF"/>
    <w:rsid w:val="00F3770A"/>
    <w:rsid w:val="00FD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4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A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A24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45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45AEF"/>
  </w:style>
  <w:style w:type="paragraph" w:styleId="Pieddepage">
    <w:name w:val="footer"/>
    <w:basedOn w:val="Normal"/>
    <w:link w:val="PieddepageCar"/>
    <w:uiPriority w:val="99"/>
    <w:unhideWhenUsed/>
    <w:rsid w:val="00A45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5A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Phase_stationnaire" TargetMode="External"/><Relationship Id="rId13" Type="http://schemas.openxmlformats.org/officeDocument/2006/relationships/hyperlink" Target="http://fr.wikipedia.org/wiki/Phase_mobil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.wikipedia.org/wiki/Chromatographie" TargetMode="External"/><Relationship Id="rId12" Type="http://schemas.openxmlformats.org/officeDocument/2006/relationships/hyperlink" Target="http://fr.wikipedia.org/wiki/Chromatographie_en_phase_liquid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r.wikipedia.org/wiki/Cellulos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http://fr.wikipedia.org/wiki/Oxyde_d%27aluminiu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r.wikipedia.org/wiki/Gel_de_silice" TargetMode="External"/><Relationship Id="rId14" Type="http://schemas.openxmlformats.org/officeDocument/2006/relationships/hyperlink" Target="http://fr.wikipedia.org/wiki/%C3%89lua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Hanane</dc:creator>
  <cp:lastModifiedBy>user</cp:lastModifiedBy>
  <cp:revision>3</cp:revision>
  <dcterms:created xsi:type="dcterms:W3CDTF">2021-05-16T15:03:00Z</dcterms:created>
  <dcterms:modified xsi:type="dcterms:W3CDTF">2021-05-16T15:11:00Z</dcterms:modified>
</cp:coreProperties>
</file>