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61" w:rsidRDefault="00486C61">
      <w:pPr>
        <w:rPr>
          <w:lang w:val="fr-FR"/>
        </w:rPr>
      </w:pPr>
    </w:p>
    <w:p w:rsidR="00673D3A" w:rsidRPr="00A36703" w:rsidRDefault="00673D3A" w:rsidP="00673D3A">
      <w:pPr>
        <w:ind w:left="0" w:firstLine="0"/>
        <w:jc w:val="center"/>
        <w:rPr>
          <w:rFonts w:asciiTheme="majorHAnsi" w:hAnsiTheme="majorHAnsi" w:cs="URWPalladioL-Roma"/>
          <w:sz w:val="44"/>
          <w:szCs w:val="44"/>
          <w:lang w:val="fr-FR" w:bidi="ar-SA"/>
        </w:rPr>
      </w:pPr>
      <w:r w:rsidRPr="00A36703">
        <w:rPr>
          <w:rFonts w:asciiTheme="majorHAnsi" w:hAnsiTheme="majorHAnsi" w:cs="URWPalladioL-Roma"/>
          <w:sz w:val="44"/>
          <w:szCs w:val="44"/>
          <w:lang w:val="fr-FR" w:bidi="ar-SA"/>
        </w:rPr>
        <w:t>TP</w:t>
      </w:r>
      <w:r>
        <w:rPr>
          <w:rFonts w:asciiTheme="majorHAnsi" w:hAnsiTheme="majorHAnsi" w:cs="URWPalladioL-Roma"/>
          <w:sz w:val="44"/>
          <w:szCs w:val="44"/>
          <w:lang w:val="fr-FR" w:bidi="ar-SA"/>
        </w:rPr>
        <w:t xml:space="preserve"> n°2</w:t>
      </w:r>
      <w:r w:rsidRPr="00A36703">
        <w:rPr>
          <w:rFonts w:asciiTheme="majorHAnsi" w:hAnsiTheme="majorHAnsi" w:cs="URWPalladioL-Roma"/>
          <w:sz w:val="44"/>
          <w:szCs w:val="44"/>
          <w:lang w:val="fr-FR" w:bidi="ar-SA"/>
        </w:rPr>
        <w:t xml:space="preserve"> de turbomachines</w:t>
      </w:r>
    </w:p>
    <w:p w:rsidR="00673D3A" w:rsidRDefault="00673D3A" w:rsidP="00673D3A">
      <w:pPr>
        <w:pStyle w:val="Default"/>
        <w:jc w:val="center"/>
      </w:pPr>
    </w:p>
    <w:p w:rsidR="00673D3A" w:rsidRDefault="00673D3A" w:rsidP="00673D3A">
      <w:pPr>
        <w:jc w:val="center"/>
        <w:rPr>
          <w:rFonts w:asciiTheme="majorHAnsi" w:hAnsiTheme="majorHAnsi" w:cstheme="majorBidi"/>
          <w:b/>
          <w:bCs/>
          <w:sz w:val="44"/>
          <w:szCs w:val="44"/>
          <w:lang w:val="fr-FR"/>
        </w:rPr>
      </w:pPr>
      <w:r w:rsidRPr="00673D3A">
        <w:rPr>
          <w:lang w:val="fr-FR"/>
        </w:rPr>
        <w:t xml:space="preserve"> </w:t>
      </w:r>
      <w:r w:rsidRPr="00673D3A">
        <w:rPr>
          <w:rFonts w:asciiTheme="majorHAnsi" w:hAnsiTheme="majorHAnsi" w:cstheme="majorBidi"/>
          <w:b/>
          <w:bCs/>
          <w:sz w:val="44"/>
          <w:szCs w:val="44"/>
          <w:lang w:val="fr-FR"/>
        </w:rPr>
        <w:t>Étude de pompes centrifuges en parallèle et en série</w:t>
      </w:r>
    </w:p>
    <w:p w:rsidR="00673D3A" w:rsidRDefault="00673D3A" w:rsidP="00673D3A">
      <w:pPr>
        <w:pStyle w:val="Default"/>
      </w:pPr>
    </w:p>
    <w:p w:rsidR="00D31531" w:rsidRDefault="00D31531" w:rsidP="00673D3A">
      <w:pPr>
        <w:pStyle w:val="Default"/>
      </w:pPr>
    </w:p>
    <w:p w:rsidR="00673D3A" w:rsidRPr="00673D3A" w:rsidRDefault="00673D3A" w:rsidP="00D31531">
      <w:pPr>
        <w:pStyle w:val="Default"/>
        <w:spacing w:after="240" w:line="360" w:lineRule="auto"/>
        <w:jc w:val="both"/>
        <w:rPr>
          <w:rFonts w:asciiTheme="majorHAnsi" w:hAnsiTheme="majorHAnsi"/>
        </w:rPr>
      </w:pPr>
      <w:r w:rsidRPr="00673D3A">
        <w:rPr>
          <w:b/>
          <w:bCs/>
        </w:rPr>
        <w:t>1-</w:t>
      </w:r>
      <w:r>
        <w:t xml:space="preserve">  </w:t>
      </w:r>
      <w:r w:rsidRPr="00673D3A">
        <w:rPr>
          <w:rFonts w:asciiTheme="majorHAnsi" w:hAnsiTheme="majorHAnsi"/>
          <w:b/>
          <w:bCs/>
        </w:rPr>
        <w:t xml:space="preserve">BUTS </w:t>
      </w:r>
    </w:p>
    <w:p w:rsidR="00673D3A" w:rsidRPr="00673D3A" w:rsidRDefault="00673D3A" w:rsidP="00D31531">
      <w:pPr>
        <w:pStyle w:val="Default"/>
        <w:numPr>
          <w:ilvl w:val="0"/>
          <w:numId w:val="2"/>
        </w:numPr>
        <w:spacing w:line="360" w:lineRule="auto"/>
        <w:jc w:val="both"/>
        <w:rPr>
          <w:rFonts w:asciiTheme="majorHAnsi" w:hAnsiTheme="majorHAnsi"/>
        </w:rPr>
      </w:pPr>
      <w:r w:rsidRPr="00673D3A">
        <w:rPr>
          <w:rFonts w:asciiTheme="majorHAnsi" w:hAnsiTheme="majorHAnsi"/>
        </w:rPr>
        <w:t xml:space="preserve"> établir la courbe caractéristique d'une pompe centrifuge </w:t>
      </w:r>
    </w:p>
    <w:p w:rsidR="00673D3A" w:rsidRPr="00673D3A" w:rsidRDefault="00673D3A" w:rsidP="00D31531">
      <w:pPr>
        <w:pStyle w:val="Default"/>
        <w:numPr>
          <w:ilvl w:val="0"/>
          <w:numId w:val="2"/>
        </w:numPr>
        <w:spacing w:line="360" w:lineRule="auto"/>
        <w:jc w:val="both"/>
        <w:rPr>
          <w:rFonts w:asciiTheme="majorHAnsi" w:hAnsiTheme="majorHAnsi"/>
        </w:rPr>
      </w:pPr>
      <w:r w:rsidRPr="00673D3A">
        <w:rPr>
          <w:rFonts w:asciiTheme="majorHAnsi" w:hAnsiTheme="majorHAnsi"/>
        </w:rPr>
        <w:t>vérifier le fonctionnement des pompes en série à partir des courbes caractéristiques des pompes seules</w:t>
      </w:r>
      <w:r w:rsidR="008A181E">
        <w:rPr>
          <w:rFonts w:asciiTheme="majorHAnsi" w:hAnsiTheme="majorHAnsi"/>
        </w:rPr>
        <w:t xml:space="preserve"> (TP N°1)</w:t>
      </w:r>
      <w:r w:rsidRPr="00673D3A">
        <w:rPr>
          <w:rFonts w:asciiTheme="majorHAnsi" w:hAnsiTheme="majorHAnsi"/>
        </w:rPr>
        <w:t xml:space="preserve"> et en série </w:t>
      </w:r>
    </w:p>
    <w:p w:rsidR="00673D3A" w:rsidRPr="00673D3A" w:rsidRDefault="00673D3A" w:rsidP="00D31531">
      <w:pPr>
        <w:pStyle w:val="Default"/>
        <w:numPr>
          <w:ilvl w:val="0"/>
          <w:numId w:val="2"/>
        </w:numPr>
        <w:spacing w:line="360" w:lineRule="auto"/>
        <w:jc w:val="both"/>
        <w:rPr>
          <w:rFonts w:asciiTheme="majorHAnsi" w:hAnsiTheme="majorHAnsi"/>
        </w:rPr>
      </w:pPr>
      <w:r w:rsidRPr="00673D3A">
        <w:rPr>
          <w:rFonts w:asciiTheme="majorHAnsi" w:hAnsiTheme="majorHAnsi"/>
        </w:rPr>
        <w:t>vérifier le fonctionnement des pompes en parallèle à partir des courbes caractéristiques de</w:t>
      </w:r>
      <w:r w:rsidR="00D31531">
        <w:rPr>
          <w:rFonts w:asciiTheme="majorHAnsi" w:hAnsiTheme="majorHAnsi"/>
        </w:rPr>
        <w:t>s pompes seules et en parallèle.</w:t>
      </w:r>
    </w:p>
    <w:p w:rsidR="00673D3A" w:rsidRPr="00673D3A" w:rsidRDefault="00673D3A" w:rsidP="00D31531">
      <w:pPr>
        <w:pStyle w:val="Default"/>
        <w:spacing w:before="240" w:line="360" w:lineRule="auto"/>
        <w:jc w:val="both"/>
        <w:rPr>
          <w:rFonts w:asciiTheme="majorHAnsi" w:hAnsiTheme="majorHAnsi"/>
        </w:rPr>
      </w:pPr>
      <w:r w:rsidRPr="00673D3A">
        <w:rPr>
          <w:rFonts w:asciiTheme="majorHAnsi" w:hAnsiTheme="majorHAnsi"/>
          <w:b/>
          <w:bCs/>
        </w:rPr>
        <w:t xml:space="preserve">2- RAPPEL THÉORIQUE </w:t>
      </w:r>
    </w:p>
    <w:p w:rsidR="00673D3A" w:rsidRPr="00AA2292" w:rsidRDefault="00673D3A" w:rsidP="00AA2292">
      <w:pPr>
        <w:spacing w:line="360" w:lineRule="auto"/>
        <w:ind w:left="0" w:firstLine="0"/>
        <w:rPr>
          <w:rFonts w:asciiTheme="majorHAnsi" w:hAnsiTheme="majorHAnsi"/>
          <w:sz w:val="24"/>
          <w:szCs w:val="24"/>
          <w:lang w:val="fr-FR"/>
        </w:rPr>
      </w:pPr>
      <w:r w:rsidRPr="00673D3A">
        <w:rPr>
          <w:rFonts w:asciiTheme="majorHAnsi" w:hAnsiTheme="majorHAnsi"/>
          <w:sz w:val="24"/>
          <w:szCs w:val="24"/>
          <w:lang w:val="fr-FR"/>
        </w:rPr>
        <w:t xml:space="preserve">Les principales courbes qui caractérisent les performances d'une pompe pour une vitesse de rotation donnée sont: la courbe caractéristique H=f(Q) (H étant la hauteur manométrique), la courbe de puissance absorbée Pa=f(Q), la courbe de puissance fournie P=f(Q) et la courbe de rendement </w:t>
      </w:r>
      <w:r w:rsidRPr="00673D3A">
        <w:rPr>
          <w:rFonts w:asciiTheme="majorHAnsi" w:hAnsiTheme="majorHAnsi"/>
          <w:sz w:val="24"/>
          <w:szCs w:val="24"/>
        </w:rPr>
        <w:t>η</w:t>
      </w:r>
      <w:r w:rsidRPr="00673D3A">
        <w:rPr>
          <w:rFonts w:asciiTheme="majorHAnsi" w:hAnsiTheme="majorHAnsi"/>
          <w:sz w:val="24"/>
          <w:szCs w:val="24"/>
          <w:lang w:val="fr-FR"/>
        </w:rPr>
        <w:t>=f(Q). Ces courbes peuvent être obtenues pour une pompe donnée, en faisant varier le débit à l'aide de la fermeture d'une vanne en aval de la conduite (figure 1).</w:t>
      </w:r>
    </w:p>
    <w:p w:rsidR="00172266" w:rsidRPr="00172266" w:rsidRDefault="00172266" w:rsidP="00172266">
      <w:pPr>
        <w:pStyle w:val="Default"/>
        <w:spacing w:line="360" w:lineRule="auto"/>
        <w:jc w:val="both"/>
        <w:rPr>
          <w:rFonts w:asciiTheme="majorHAnsi" w:hAnsiTheme="majorHAnsi"/>
        </w:rPr>
      </w:pPr>
      <w:r w:rsidRPr="00172266">
        <w:rPr>
          <w:rFonts w:asciiTheme="majorHAnsi" w:hAnsiTheme="majorHAnsi"/>
        </w:rPr>
        <w:t xml:space="preserve">Lorsque plusieurs pompes débitent l'une derrière l'autre, ces pompes fonctionnent en série. Chaque pompe passe le même débit et les hauteurs manométriques s'additionnent. En revanche quand les pompes sont installées en parallèle la hauteur manométrique reste inchangée et les débits s'ajoutent. </w:t>
      </w:r>
    </w:p>
    <w:p w:rsidR="00673D3A" w:rsidRDefault="00172266" w:rsidP="00172266">
      <w:pPr>
        <w:spacing w:line="360" w:lineRule="auto"/>
        <w:ind w:left="0" w:firstLine="0"/>
        <w:rPr>
          <w:rFonts w:asciiTheme="majorHAnsi" w:hAnsiTheme="majorHAnsi"/>
          <w:sz w:val="24"/>
          <w:szCs w:val="24"/>
          <w:lang w:val="fr-FR"/>
        </w:rPr>
      </w:pPr>
      <w:r w:rsidRPr="00172266">
        <w:rPr>
          <w:rFonts w:asciiTheme="majorHAnsi" w:hAnsiTheme="majorHAnsi"/>
          <w:sz w:val="24"/>
          <w:szCs w:val="24"/>
          <w:lang w:val="fr-FR"/>
        </w:rPr>
        <w:t>La figure 2 donne pour chacun des cas la caractéristique de la pompe équivalente.</w:t>
      </w:r>
    </w:p>
    <w:p w:rsidR="00AA2292" w:rsidRDefault="00AA2292" w:rsidP="00172266">
      <w:pPr>
        <w:spacing w:line="360" w:lineRule="auto"/>
        <w:ind w:left="0" w:firstLine="0"/>
        <w:rPr>
          <w:rFonts w:asciiTheme="majorHAnsi" w:hAnsiTheme="majorHAnsi"/>
          <w:sz w:val="24"/>
          <w:szCs w:val="24"/>
          <w:lang w:val="fr-FR"/>
        </w:rPr>
      </w:pPr>
    </w:p>
    <w:p w:rsidR="00172266" w:rsidRDefault="00AA2292" w:rsidP="00AA2292">
      <w:pPr>
        <w:spacing w:line="360" w:lineRule="auto"/>
        <w:ind w:left="-567" w:right="-567" w:firstLine="0"/>
        <w:jc w:val="center"/>
        <w:rPr>
          <w:rFonts w:asciiTheme="majorHAnsi" w:hAnsiTheme="majorHAnsi" w:cstheme="majorBidi"/>
          <w:sz w:val="24"/>
          <w:szCs w:val="24"/>
          <w:lang w:val="fr-FR"/>
        </w:rPr>
      </w:pPr>
      <w:r w:rsidRPr="00AA2292">
        <w:rPr>
          <w:rFonts w:asciiTheme="majorHAnsi" w:hAnsiTheme="majorHAnsi" w:cstheme="majorBidi"/>
          <w:noProof/>
          <w:sz w:val="24"/>
          <w:szCs w:val="24"/>
          <w:lang w:val="fr-FR" w:eastAsia="fr-FR" w:bidi="ar-SA"/>
        </w:rPr>
        <w:drawing>
          <wp:inline distT="0" distB="0" distL="0" distR="0">
            <wp:extent cx="3639640" cy="20880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2742" t="31666" r="31169" b="31475"/>
                    <a:stretch>
                      <a:fillRect/>
                    </a:stretch>
                  </pic:blipFill>
                  <pic:spPr bwMode="auto">
                    <a:xfrm>
                      <a:off x="0" y="0"/>
                      <a:ext cx="3639640" cy="2088000"/>
                    </a:xfrm>
                    <a:prstGeom prst="rect">
                      <a:avLst/>
                    </a:prstGeom>
                    <a:noFill/>
                    <a:ln w="9525">
                      <a:noFill/>
                      <a:miter lim="800000"/>
                      <a:headEnd/>
                      <a:tailEnd/>
                    </a:ln>
                  </pic:spPr>
                </pic:pic>
              </a:graphicData>
            </a:graphic>
          </wp:inline>
        </w:drawing>
      </w:r>
      <w:r w:rsidR="00172266">
        <w:rPr>
          <w:rFonts w:asciiTheme="majorHAnsi" w:hAnsiTheme="majorHAnsi" w:cstheme="majorBidi"/>
          <w:noProof/>
          <w:sz w:val="24"/>
          <w:szCs w:val="24"/>
          <w:lang w:val="fr-FR" w:eastAsia="fr-FR" w:bidi="ar-SA"/>
        </w:rPr>
        <w:drawing>
          <wp:inline distT="0" distB="0" distL="0" distR="0">
            <wp:extent cx="3240000" cy="1973571"/>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35670" t="48982" r="35964" b="19946"/>
                    <a:stretch>
                      <a:fillRect/>
                    </a:stretch>
                  </pic:blipFill>
                  <pic:spPr bwMode="auto">
                    <a:xfrm>
                      <a:off x="0" y="0"/>
                      <a:ext cx="3240000" cy="1973571"/>
                    </a:xfrm>
                    <a:prstGeom prst="rect">
                      <a:avLst/>
                    </a:prstGeom>
                    <a:noFill/>
                    <a:ln w="9525">
                      <a:noFill/>
                      <a:miter lim="800000"/>
                      <a:headEnd/>
                      <a:tailEnd/>
                    </a:ln>
                  </pic:spPr>
                </pic:pic>
              </a:graphicData>
            </a:graphic>
          </wp:inline>
        </w:drawing>
      </w:r>
    </w:p>
    <w:p w:rsidR="003E76B5" w:rsidRPr="008E69C4" w:rsidRDefault="00D31531" w:rsidP="008E69C4">
      <w:pPr>
        <w:pStyle w:val="Default"/>
        <w:spacing w:line="360" w:lineRule="auto"/>
        <w:jc w:val="both"/>
        <w:rPr>
          <w:rFonts w:asciiTheme="majorHAnsi" w:hAnsiTheme="majorHAnsi"/>
          <w:sz w:val="28"/>
          <w:szCs w:val="28"/>
        </w:rPr>
      </w:pPr>
      <w:r>
        <w:rPr>
          <w:rFonts w:asciiTheme="majorHAnsi" w:hAnsiTheme="majorHAnsi"/>
          <w:b/>
          <w:bCs/>
          <w:sz w:val="28"/>
          <w:szCs w:val="28"/>
        </w:rPr>
        <w:lastRenderedPageBreak/>
        <w:t xml:space="preserve">3- </w:t>
      </w:r>
      <w:r w:rsidR="003E76B5" w:rsidRPr="008E69C4">
        <w:rPr>
          <w:rFonts w:asciiTheme="majorHAnsi" w:hAnsiTheme="majorHAnsi"/>
          <w:b/>
          <w:bCs/>
          <w:sz w:val="28"/>
          <w:szCs w:val="28"/>
        </w:rPr>
        <w:t xml:space="preserve">Couplage des pompes </w:t>
      </w:r>
    </w:p>
    <w:p w:rsidR="003E76B5" w:rsidRPr="003E76B5" w:rsidRDefault="003E76B5" w:rsidP="00D31531">
      <w:pPr>
        <w:pStyle w:val="Default"/>
        <w:numPr>
          <w:ilvl w:val="0"/>
          <w:numId w:val="1"/>
        </w:numPr>
        <w:spacing w:line="360" w:lineRule="auto"/>
        <w:jc w:val="both"/>
        <w:rPr>
          <w:rFonts w:asciiTheme="majorHAnsi" w:hAnsiTheme="majorHAnsi"/>
        </w:rPr>
      </w:pPr>
      <w:r w:rsidRPr="003E76B5">
        <w:rPr>
          <w:rFonts w:asciiTheme="majorHAnsi" w:hAnsiTheme="majorHAnsi"/>
          <w:b/>
          <w:bCs/>
        </w:rPr>
        <w:t xml:space="preserve">Le fonctionnement en série des pompes </w:t>
      </w:r>
    </w:p>
    <w:p w:rsidR="003E76B5" w:rsidRPr="008A181E" w:rsidRDefault="003E76B5" w:rsidP="00AA2292">
      <w:pPr>
        <w:spacing w:line="360" w:lineRule="auto"/>
        <w:ind w:left="0" w:firstLine="0"/>
        <w:rPr>
          <w:rFonts w:asciiTheme="majorHAnsi" w:hAnsiTheme="majorHAnsi"/>
          <w:lang w:val="fr-FR"/>
        </w:rPr>
      </w:pPr>
      <w:r w:rsidRPr="003E76B5">
        <w:rPr>
          <w:rFonts w:asciiTheme="majorHAnsi" w:hAnsiTheme="majorHAnsi" w:cs="Times New Roman"/>
          <w:sz w:val="24"/>
          <w:szCs w:val="24"/>
          <w:lang w:val="fr-FR"/>
        </w:rPr>
        <w:t xml:space="preserve">Pour réaliser les mesures du fonctionnement des pompes en série, il faut modifier le circuit par ouverture et fermeture des vannes. </w:t>
      </w:r>
    </w:p>
    <w:p w:rsidR="003E76B5" w:rsidRDefault="003E76B5" w:rsidP="003E76B5">
      <w:pPr>
        <w:spacing w:line="360" w:lineRule="auto"/>
        <w:ind w:left="0" w:firstLine="0"/>
        <w:rPr>
          <w:rFonts w:asciiTheme="majorHAnsi" w:hAnsiTheme="majorHAnsi" w:cs="Times New Roman"/>
          <w:sz w:val="24"/>
          <w:szCs w:val="24"/>
          <w:lang w:val="fr-FR"/>
        </w:rPr>
      </w:pPr>
      <w:r w:rsidRPr="003E76B5">
        <w:rPr>
          <w:rFonts w:asciiTheme="majorHAnsi" w:hAnsiTheme="majorHAnsi" w:cs="Times New Roman"/>
          <w:sz w:val="24"/>
          <w:szCs w:val="24"/>
          <w:lang w:val="fr-FR"/>
        </w:rPr>
        <w:t>La HMT créée par les deux pompes en série s’exprime par la différence des pressions entre l’aspiration de la première pompe et</w:t>
      </w:r>
      <w:r>
        <w:rPr>
          <w:rFonts w:asciiTheme="majorHAnsi" w:hAnsiTheme="majorHAnsi" w:cs="Times New Roman"/>
          <w:sz w:val="24"/>
          <w:szCs w:val="24"/>
          <w:lang w:val="fr-FR"/>
        </w:rPr>
        <w:t xml:space="preserve"> le refoulement de la deuxième.</w:t>
      </w:r>
    </w:p>
    <w:p w:rsidR="003E76B5" w:rsidRPr="003E76B5" w:rsidRDefault="003E76B5" w:rsidP="003E76B5">
      <w:pPr>
        <w:pStyle w:val="Default"/>
        <w:spacing w:line="360" w:lineRule="auto"/>
        <w:jc w:val="both"/>
        <w:rPr>
          <w:rFonts w:asciiTheme="majorHAnsi" w:hAnsiTheme="majorHAnsi"/>
        </w:rPr>
      </w:pPr>
      <w:r w:rsidRPr="003E76B5">
        <w:rPr>
          <w:rFonts w:asciiTheme="majorHAnsi" w:hAnsiTheme="majorHAnsi"/>
        </w:rPr>
        <w:t xml:space="preserve">Le couplage des pompes en série signifie qu’un débit identique traverse les deux pompes l’une après l’autre, et que celles-ci vont communiquer de l’énergie au fluide. Cette énergie va se manifester en « charge » HMT, qui va, d’après ce que l’on attend, être supérieure à l’HMT créée par chacune des pompes prises indépendamment. Théoriquement, pour un débit donné, le HMT de l’ensemble devrait correspondre à la somme des HMT des deux pompes. </w:t>
      </w:r>
    </w:p>
    <w:p w:rsidR="003E76B5" w:rsidRDefault="003E76B5" w:rsidP="003E76B5">
      <w:pPr>
        <w:pStyle w:val="Default"/>
        <w:spacing w:line="360" w:lineRule="auto"/>
        <w:jc w:val="both"/>
        <w:rPr>
          <w:rFonts w:asciiTheme="majorHAnsi" w:hAnsiTheme="majorHAnsi"/>
        </w:rPr>
      </w:pPr>
      <w:r w:rsidRPr="003E76B5">
        <w:rPr>
          <w:rFonts w:asciiTheme="majorHAnsi" w:hAnsiTheme="majorHAnsi"/>
        </w:rPr>
        <w:t xml:space="preserve">Comme prévu, les courbes montrent que le HMT global est bien supérieur au HMT de chaque pompe. Mais les pompes réelles ne vont pas suivre exactement le modèle du couplage théorique c'est-à-dire : </w:t>
      </w:r>
    </w:p>
    <w:p w:rsidR="003E76B5" w:rsidRPr="003E76B5" w:rsidRDefault="003E76B5" w:rsidP="00D31531">
      <w:pPr>
        <w:pStyle w:val="Default"/>
        <w:spacing w:line="360" w:lineRule="auto"/>
        <w:jc w:val="center"/>
        <w:rPr>
          <w:rFonts w:asciiTheme="majorHAnsi" w:hAnsiTheme="majorHAnsi"/>
          <w:b/>
          <w:bCs/>
          <w:i/>
          <w:iCs/>
          <w:vertAlign w:val="subscript"/>
        </w:rPr>
      </w:pPr>
      <w:r w:rsidRPr="003E76B5">
        <w:rPr>
          <w:rFonts w:asciiTheme="majorHAnsi" w:hAnsiTheme="majorHAnsi"/>
          <w:b/>
          <w:bCs/>
          <w:i/>
          <w:iCs/>
        </w:rPr>
        <w:t>HMT</w:t>
      </w:r>
      <w:r w:rsidRPr="003E76B5">
        <w:rPr>
          <w:rFonts w:asciiTheme="majorHAnsi" w:hAnsiTheme="majorHAnsi"/>
          <w:b/>
          <w:bCs/>
          <w:i/>
          <w:iCs/>
          <w:vertAlign w:val="subscript"/>
        </w:rPr>
        <w:t>circuit en serie</w:t>
      </w:r>
      <w:r w:rsidRPr="003E76B5">
        <w:rPr>
          <w:rFonts w:asciiTheme="majorHAnsi" w:hAnsiTheme="majorHAnsi"/>
          <w:b/>
          <w:bCs/>
          <w:i/>
          <w:iCs/>
        </w:rPr>
        <w:t>=HMT</w:t>
      </w:r>
      <w:r w:rsidRPr="003E76B5">
        <w:rPr>
          <w:rFonts w:asciiTheme="majorHAnsi" w:hAnsiTheme="majorHAnsi"/>
          <w:b/>
          <w:bCs/>
          <w:i/>
          <w:iCs/>
          <w:vertAlign w:val="subscript"/>
        </w:rPr>
        <w:t>pompe1</w:t>
      </w:r>
      <w:r w:rsidRPr="003E76B5">
        <w:rPr>
          <w:rFonts w:asciiTheme="majorHAnsi" w:hAnsiTheme="majorHAnsi"/>
          <w:b/>
          <w:bCs/>
          <w:i/>
          <w:iCs/>
        </w:rPr>
        <w:t xml:space="preserve"> +HMT</w:t>
      </w:r>
      <w:r w:rsidRPr="003E76B5">
        <w:rPr>
          <w:rFonts w:asciiTheme="majorHAnsi" w:hAnsiTheme="majorHAnsi"/>
          <w:b/>
          <w:bCs/>
          <w:i/>
          <w:iCs/>
          <w:vertAlign w:val="subscript"/>
        </w:rPr>
        <w:t>pompe2</w:t>
      </w:r>
    </w:p>
    <w:p w:rsidR="00020E5A" w:rsidRPr="00020E5A" w:rsidRDefault="00020E5A" w:rsidP="00020E5A">
      <w:pPr>
        <w:pStyle w:val="Default"/>
        <w:spacing w:line="360" w:lineRule="auto"/>
        <w:jc w:val="both"/>
        <w:rPr>
          <w:rFonts w:asciiTheme="majorHAnsi" w:hAnsiTheme="majorHAnsi"/>
        </w:rPr>
      </w:pPr>
      <w:r w:rsidRPr="00020E5A">
        <w:rPr>
          <w:rFonts w:asciiTheme="majorHAnsi" w:hAnsiTheme="majorHAnsi"/>
        </w:rPr>
        <w:t xml:space="preserve">Le débit maximal lorsque P1 et P2 sont en série est la moyenne des débits maximums des pompes 1 et 2 prises seules. </w:t>
      </w:r>
    </w:p>
    <w:p w:rsidR="00020E5A" w:rsidRPr="00020E5A" w:rsidRDefault="00020E5A" w:rsidP="00020E5A">
      <w:pPr>
        <w:pStyle w:val="Default"/>
        <w:spacing w:line="360" w:lineRule="auto"/>
        <w:jc w:val="both"/>
        <w:rPr>
          <w:rFonts w:asciiTheme="majorHAnsi" w:hAnsiTheme="majorHAnsi"/>
        </w:rPr>
      </w:pPr>
      <w:r w:rsidRPr="00020E5A">
        <w:rPr>
          <w:rFonts w:asciiTheme="majorHAnsi" w:hAnsiTheme="majorHAnsi"/>
        </w:rPr>
        <w:t xml:space="preserve">Ce type de couplage permet d’élargir la plage de possibilité de la hauteur manométrique totale, crée par les pompes. Pour les appareils d’un débit constant, une grande variabilité de l’HMT peut être réalisée par l’installation de plusieurs pompes en série. </w:t>
      </w:r>
    </w:p>
    <w:p w:rsidR="003E76B5" w:rsidRDefault="00020E5A" w:rsidP="00020E5A">
      <w:pPr>
        <w:tabs>
          <w:tab w:val="left" w:pos="6731"/>
        </w:tabs>
        <w:spacing w:line="360" w:lineRule="auto"/>
        <w:ind w:left="0" w:firstLine="0"/>
        <w:rPr>
          <w:rFonts w:asciiTheme="majorHAnsi" w:hAnsiTheme="majorHAnsi"/>
          <w:sz w:val="24"/>
          <w:szCs w:val="24"/>
          <w:lang w:val="fr-FR"/>
        </w:rPr>
      </w:pPr>
      <w:r w:rsidRPr="00020E5A">
        <w:rPr>
          <w:rFonts w:asciiTheme="majorHAnsi" w:hAnsiTheme="majorHAnsi"/>
          <w:sz w:val="24"/>
          <w:szCs w:val="24"/>
          <w:lang w:val="fr-FR"/>
        </w:rPr>
        <w:t>La première pompe de l’installation peut servir à maintenir une pression nécessaire à l’aspiration de la pompe suivante pour éviter le phénomène de cavitation.</w:t>
      </w:r>
    </w:p>
    <w:p w:rsidR="00020E5A" w:rsidRPr="00020E5A" w:rsidRDefault="00020E5A" w:rsidP="008E69C4">
      <w:pPr>
        <w:pStyle w:val="Default"/>
        <w:numPr>
          <w:ilvl w:val="0"/>
          <w:numId w:val="1"/>
        </w:numPr>
        <w:spacing w:line="360" w:lineRule="auto"/>
        <w:jc w:val="both"/>
        <w:rPr>
          <w:rFonts w:asciiTheme="majorHAnsi" w:hAnsiTheme="majorHAnsi"/>
        </w:rPr>
      </w:pPr>
      <w:r w:rsidRPr="00020E5A">
        <w:rPr>
          <w:rFonts w:asciiTheme="majorHAnsi" w:hAnsiTheme="majorHAnsi"/>
          <w:b/>
          <w:bCs/>
        </w:rPr>
        <w:t xml:space="preserve">Le fonctionnement en parallèle des pompes </w:t>
      </w:r>
    </w:p>
    <w:p w:rsidR="00020E5A" w:rsidRDefault="00020E5A" w:rsidP="00AA2292">
      <w:pPr>
        <w:tabs>
          <w:tab w:val="left" w:pos="6731"/>
        </w:tabs>
        <w:spacing w:line="360" w:lineRule="auto"/>
        <w:ind w:left="0" w:firstLine="0"/>
        <w:rPr>
          <w:rFonts w:asciiTheme="majorHAnsi" w:hAnsiTheme="majorHAnsi"/>
          <w:b/>
          <w:bCs/>
          <w:sz w:val="24"/>
          <w:szCs w:val="24"/>
          <w:lang w:val="fr-FR"/>
        </w:rPr>
      </w:pPr>
      <w:r w:rsidRPr="00020E5A">
        <w:rPr>
          <w:rFonts w:asciiTheme="majorHAnsi" w:hAnsiTheme="majorHAnsi" w:cs="Times New Roman"/>
          <w:sz w:val="24"/>
          <w:szCs w:val="24"/>
          <w:lang w:val="fr-FR"/>
        </w:rPr>
        <w:t>Pour l’étude des pompes en parallèle, nous avons, en modifiant les positions des vannes, réalisé le circuit présenté ci- dessous.</w:t>
      </w:r>
    </w:p>
    <w:p w:rsidR="00020E5A" w:rsidRDefault="00020E5A" w:rsidP="00020E5A">
      <w:pPr>
        <w:tabs>
          <w:tab w:val="left" w:pos="6731"/>
        </w:tabs>
        <w:spacing w:line="360" w:lineRule="auto"/>
        <w:ind w:left="0" w:firstLine="0"/>
        <w:rPr>
          <w:rFonts w:asciiTheme="majorHAnsi" w:hAnsiTheme="majorHAnsi"/>
          <w:sz w:val="24"/>
          <w:szCs w:val="24"/>
          <w:lang w:val="fr-FR"/>
        </w:rPr>
      </w:pPr>
      <w:r w:rsidRPr="00020E5A">
        <w:rPr>
          <w:rFonts w:asciiTheme="majorHAnsi" w:hAnsiTheme="majorHAnsi"/>
          <w:sz w:val="24"/>
          <w:szCs w:val="24"/>
          <w:lang w:val="fr-FR"/>
        </w:rPr>
        <w:t>Pour déterminer la courbe caractéristique, nous allons mesurer les débits et les différences des pressions entre l’aspiration et</w:t>
      </w:r>
      <w:r>
        <w:rPr>
          <w:rFonts w:asciiTheme="majorHAnsi" w:hAnsiTheme="majorHAnsi"/>
          <w:sz w:val="24"/>
          <w:szCs w:val="24"/>
          <w:lang w:val="fr-FR"/>
        </w:rPr>
        <w:t xml:space="preserve"> le refoulement des deux pompes. </w:t>
      </w:r>
      <w:r w:rsidRPr="00020E5A">
        <w:rPr>
          <w:rFonts w:asciiTheme="majorHAnsi" w:hAnsiTheme="majorHAnsi"/>
          <w:sz w:val="24"/>
          <w:szCs w:val="24"/>
          <w:lang w:val="fr-FR"/>
        </w:rPr>
        <w:t>Le débit du couplage va être égal à la somme des deux débits mesurés. La moyenne des HMTs des 2 pompes donne la HMT de l’ensemble.</w:t>
      </w:r>
    </w:p>
    <w:p w:rsidR="008E69C4" w:rsidRDefault="008E69C4" w:rsidP="008E69C4">
      <w:pPr>
        <w:tabs>
          <w:tab w:val="left" w:pos="6731"/>
        </w:tabs>
        <w:spacing w:line="360" w:lineRule="auto"/>
        <w:ind w:left="0" w:firstLine="0"/>
        <w:rPr>
          <w:rFonts w:asciiTheme="majorHAnsi" w:hAnsiTheme="majorHAnsi"/>
          <w:sz w:val="24"/>
          <w:szCs w:val="24"/>
          <w:lang w:val="fr-FR"/>
        </w:rPr>
      </w:pPr>
      <w:r w:rsidRPr="008E69C4">
        <w:rPr>
          <w:rFonts w:asciiTheme="majorHAnsi" w:hAnsiTheme="majorHAnsi"/>
          <w:sz w:val="24"/>
          <w:szCs w:val="24"/>
          <w:lang w:val="fr-FR"/>
        </w:rPr>
        <w:t>On constate que le débit du circuit global est égal à la somme des débits des pompes prises indépendamment, pour une HMT donnée, en négligeant la perte de charge engendrée dans la partie du circuit traversée par les deux débits.</w:t>
      </w:r>
    </w:p>
    <w:p w:rsidR="008E69C4" w:rsidRPr="009E419D" w:rsidRDefault="008E69C4" w:rsidP="009E419D">
      <w:pPr>
        <w:tabs>
          <w:tab w:val="left" w:pos="6731"/>
        </w:tabs>
        <w:spacing w:line="360" w:lineRule="auto"/>
        <w:ind w:left="0" w:firstLine="0"/>
        <w:rPr>
          <w:rFonts w:asciiTheme="majorHAnsi" w:hAnsiTheme="majorHAnsi" w:cstheme="majorBidi"/>
          <w:b/>
          <w:bCs/>
          <w:sz w:val="24"/>
          <w:szCs w:val="24"/>
          <w:lang w:val="fr-FR"/>
        </w:rPr>
      </w:pPr>
      <w:r w:rsidRPr="008E69C4">
        <w:rPr>
          <w:rFonts w:asciiTheme="majorHAnsi" w:hAnsiTheme="majorHAnsi"/>
          <w:sz w:val="24"/>
          <w:szCs w:val="24"/>
          <w:lang w:val="fr-FR"/>
        </w:rPr>
        <w:t>Le couplage des pompes en parallèle peut être favorable dans le cas où la hauteur manométrique totale ou la pression à créer est constante, mais le débit doit être variable ou adapté à plusieurs situations de travail.</w:t>
      </w:r>
    </w:p>
    <w:sectPr w:rsidR="008E69C4" w:rsidRPr="009E419D" w:rsidSect="00AA2292">
      <w:footerReference w:type="default" r:id="rId9"/>
      <w:pgSz w:w="11906" w:h="16838"/>
      <w:pgMar w:top="1417" w:right="566"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48F" w:rsidRDefault="0037648F" w:rsidP="008E69C4">
      <w:r>
        <w:separator/>
      </w:r>
    </w:p>
  </w:endnote>
  <w:endnote w:type="continuationSeparator" w:id="1">
    <w:p w:rsidR="0037648F" w:rsidRDefault="0037648F" w:rsidP="008E69C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Roma">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9043"/>
      <w:docPartObj>
        <w:docPartGallery w:val="Page Numbers (Bottom of Page)"/>
        <w:docPartUnique/>
      </w:docPartObj>
    </w:sdtPr>
    <w:sdtEndPr>
      <w:rPr>
        <w:b/>
        <w:bCs/>
        <w:sz w:val="24"/>
        <w:szCs w:val="24"/>
      </w:rPr>
    </w:sdtEndPr>
    <w:sdtContent>
      <w:p w:rsidR="008E69C4" w:rsidRDefault="00EF2A53">
        <w:pPr>
          <w:pStyle w:val="Pieddepage"/>
          <w:jc w:val="center"/>
        </w:pPr>
        <w:r w:rsidRPr="008E69C4">
          <w:rPr>
            <w:b/>
            <w:bCs/>
            <w:sz w:val="24"/>
            <w:szCs w:val="24"/>
          </w:rPr>
          <w:fldChar w:fldCharType="begin"/>
        </w:r>
        <w:r w:rsidR="008E69C4" w:rsidRPr="008E69C4">
          <w:rPr>
            <w:b/>
            <w:bCs/>
            <w:sz w:val="24"/>
            <w:szCs w:val="24"/>
          </w:rPr>
          <w:instrText xml:space="preserve"> PAGE   \* MERGEFORMAT </w:instrText>
        </w:r>
        <w:r w:rsidRPr="008E69C4">
          <w:rPr>
            <w:b/>
            <w:bCs/>
            <w:sz w:val="24"/>
            <w:szCs w:val="24"/>
          </w:rPr>
          <w:fldChar w:fldCharType="separate"/>
        </w:r>
        <w:r w:rsidR="008A181E">
          <w:rPr>
            <w:b/>
            <w:bCs/>
            <w:noProof/>
            <w:sz w:val="24"/>
            <w:szCs w:val="24"/>
          </w:rPr>
          <w:t>1</w:t>
        </w:r>
        <w:r w:rsidRPr="008E69C4">
          <w:rPr>
            <w:b/>
            <w:bCs/>
            <w:sz w:val="24"/>
            <w:szCs w:val="24"/>
          </w:rPr>
          <w:fldChar w:fldCharType="end"/>
        </w:r>
      </w:p>
    </w:sdtContent>
  </w:sdt>
  <w:p w:rsidR="008E69C4" w:rsidRDefault="008E69C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48F" w:rsidRDefault="0037648F" w:rsidP="008E69C4">
      <w:r>
        <w:separator/>
      </w:r>
    </w:p>
  </w:footnote>
  <w:footnote w:type="continuationSeparator" w:id="1">
    <w:p w:rsidR="0037648F" w:rsidRDefault="0037648F" w:rsidP="008E69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460B6"/>
    <w:multiLevelType w:val="hybridMultilevel"/>
    <w:tmpl w:val="5F547D56"/>
    <w:lvl w:ilvl="0" w:tplc="B00C5228">
      <w:start w:val="1"/>
      <w:numFmt w:val="bullet"/>
      <w:lvlText w:val="-"/>
      <w:lvlJc w:val="left"/>
      <w:pPr>
        <w:ind w:left="720" w:hanging="360"/>
      </w:pPr>
      <w:rPr>
        <w:rFonts w:ascii="Cambria" w:eastAsiaTheme="minorHAns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BA0714"/>
    <w:multiLevelType w:val="hybridMultilevel"/>
    <w:tmpl w:val="7E96CE00"/>
    <w:lvl w:ilvl="0" w:tplc="E4066538">
      <w:start w:val="7"/>
      <w:numFmt w:val="bullet"/>
      <w:lvlText w:val="-"/>
      <w:lvlJc w:val="left"/>
      <w:pPr>
        <w:ind w:left="720" w:hanging="360"/>
      </w:pPr>
      <w:rPr>
        <w:rFonts w:ascii="Cambria" w:eastAsiaTheme="minorHAnsi" w:hAnsi="Cambria"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673D3A"/>
    <w:rsid w:val="00020E5A"/>
    <w:rsid w:val="00172266"/>
    <w:rsid w:val="00305AEB"/>
    <w:rsid w:val="00347486"/>
    <w:rsid w:val="0037648F"/>
    <w:rsid w:val="003C1A3B"/>
    <w:rsid w:val="003E76B5"/>
    <w:rsid w:val="004827EF"/>
    <w:rsid w:val="00486C61"/>
    <w:rsid w:val="00673D3A"/>
    <w:rsid w:val="00722AFA"/>
    <w:rsid w:val="007E38B3"/>
    <w:rsid w:val="008A181E"/>
    <w:rsid w:val="008E69C4"/>
    <w:rsid w:val="0096496C"/>
    <w:rsid w:val="009E419D"/>
    <w:rsid w:val="00AA2292"/>
    <w:rsid w:val="00AB6503"/>
    <w:rsid w:val="00C179CD"/>
    <w:rsid w:val="00D31531"/>
    <w:rsid w:val="00DB6DB2"/>
    <w:rsid w:val="00EF2A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426"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B3"/>
  </w:style>
  <w:style w:type="paragraph" w:styleId="Titre1">
    <w:name w:val="heading 1"/>
    <w:basedOn w:val="Normal"/>
    <w:next w:val="Normal"/>
    <w:link w:val="Titre1Car"/>
    <w:uiPriority w:val="9"/>
    <w:qFormat/>
    <w:rsid w:val="007E38B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semiHidden/>
    <w:unhideWhenUsed/>
    <w:qFormat/>
    <w:rsid w:val="007E38B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7E38B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7E38B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7E38B3"/>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7E38B3"/>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7E38B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7E38B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7E38B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8B3"/>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semiHidden/>
    <w:rsid w:val="007E38B3"/>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semiHidden/>
    <w:rsid w:val="007E38B3"/>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7E38B3"/>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7E38B3"/>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7E38B3"/>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7E38B3"/>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7E38B3"/>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7E38B3"/>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7E38B3"/>
    <w:rPr>
      <w:b/>
      <w:bCs/>
      <w:sz w:val="18"/>
      <w:szCs w:val="18"/>
    </w:rPr>
  </w:style>
  <w:style w:type="paragraph" w:styleId="Titre">
    <w:name w:val="Title"/>
    <w:basedOn w:val="Normal"/>
    <w:next w:val="Normal"/>
    <w:link w:val="TitreCar"/>
    <w:uiPriority w:val="10"/>
    <w:qFormat/>
    <w:rsid w:val="007E38B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7E38B3"/>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7E38B3"/>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7E38B3"/>
    <w:rPr>
      <w:rFonts w:asciiTheme="minorHAnsi"/>
      <w:i/>
      <w:iCs/>
      <w:sz w:val="24"/>
      <w:szCs w:val="24"/>
    </w:rPr>
  </w:style>
  <w:style w:type="character" w:styleId="lev">
    <w:name w:val="Strong"/>
    <w:basedOn w:val="Policepardfaut"/>
    <w:uiPriority w:val="22"/>
    <w:qFormat/>
    <w:rsid w:val="007E38B3"/>
    <w:rPr>
      <w:b/>
      <w:bCs/>
      <w:spacing w:val="0"/>
    </w:rPr>
  </w:style>
  <w:style w:type="character" w:styleId="Accentuation">
    <w:name w:val="Emphasis"/>
    <w:uiPriority w:val="20"/>
    <w:qFormat/>
    <w:rsid w:val="007E38B3"/>
    <w:rPr>
      <w:b/>
      <w:bCs/>
      <w:i/>
      <w:iCs/>
      <w:color w:val="5A5A5A" w:themeColor="text1" w:themeTint="A5"/>
    </w:rPr>
  </w:style>
  <w:style w:type="paragraph" w:styleId="Sansinterligne">
    <w:name w:val="No Spacing"/>
    <w:basedOn w:val="Normal"/>
    <w:link w:val="SansinterligneCar"/>
    <w:uiPriority w:val="1"/>
    <w:qFormat/>
    <w:rsid w:val="007E38B3"/>
    <w:pPr>
      <w:ind w:firstLine="0"/>
    </w:pPr>
  </w:style>
  <w:style w:type="character" w:customStyle="1" w:styleId="SansinterligneCar">
    <w:name w:val="Sans interligne Car"/>
    <w:basedOn w:val="Policepardfaut"/>
    <w:link w:val="Sansinterligne"/>
    <w:uiPriority w:val="1"/>
    <w:rsid w:val="007E38B3"/>
  </w:style>
  <w:style w:type="paragraph" w:styleId="Paragraphedeliste">
    <w:name w:val="List Paragraph"/>
    <w:basedOn w:val="Normal"/>
    <w:uiPriority w:val="34"/>
    <w:qFormat/>
    <w:rsid w:val="007E38B3"/>
    <w:pPr>
      <w:ind w:left="720"/>
      <w:contextualSpacing/>
    </w:pPr>
  </w:style>
  <w:style w:type="paragraph" w:styleId="Citation">
    <w:name w:val="Quote"/>
    <w:basedOn w:val="Normal"/>
    <w:next w:val="Normal"/>
    <w:link w:val="CitationCar"/>
    <w:uiPriority w:val="29"/>
    <w:qFormat/>
    <w:rsid w:val="007E38B3"/>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7E38B3"/>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7E38B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7E38B3"/>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7E38B3"/>
    <w:rPr>
      <w:i/>
      <w:iCs/>
      <w:color w:val="5A5A5A" w:themeColor="text1" w:themeTint="A5"/>
    </w:rPr>
  </w:style>
  <w:style w:type="character" w:styleId="Emphaseintense">
    <w:name w:val="Intense Emphasis"/>
    <w:uiPriority w:val="21"/>
    <w:qFormat/>
    <w:rsid w:val="007E38B3"/>
    <w:rPr>
      <w:b/>
      <w:bCs/>
      <w:i/>
      <w:iCs/>
      <w:color w:val="4F81BD" w:themeColor="accent1"/>
      <w:sz w:val="22"/>
      <w:szCs w:val="22"/>
    </w:rPr>
  </w:style>
  <w:style w:type="character" w:styleId="Rfrenceple">
    <w:name w:val="Subtle Reference"/>
    <w:uiPriority w:val="31"/>
    <w:qFormat/>
    <w:rsid w:val="007E38B3"/>
    <w:rPr>
      <w:color w:val="auto"/>
      <w:u w:val="single" w:color="9BBB59" w:themeColor="accent3"/>
    </w:rPr>
  </w:style>
  <w:style w:type="character" w:styleId="Rfrenceintense">
    <w:name w:val="Intense Reference"/>
    <w:basedOn w:val="Policepardfaut"/>
    <w:uiPriority w:val="32"/>
    <w:qFormat/>
    <w:rsid w:val="007E38B3"/>
    <w:rPr>
      <w:b/>
      <w:bCs/>
      <w:color w:val="76923C" w:themeColor="accent3" w:themeShade="BF"/>
      <w:u w:val="single" w:color="9BBB59" w:themeColor="accent3"/>
    </w:rPr>
  </w:style>
  <w:style w:type="character" w:styleId="Titredulivre">
    <w:name w:val="Book Title"/>
    <w:basedOn w:val="Policepardfaut"/>
    <w:uiPriority w:val="33"/>
    <w:qFormat/>
    <w:rsid w:val="007E38B3"/>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7E38B3"/>
    <w:pPr>
      <w:outlineLvl w:val="9"/>
    </w:pPr>
  </w:style>
  <w:style w:type="paragraph" w:customStyle="1" w:styleId="Default">
    <w:name w:val="Default"/>
    <w:rsid w:val="00673D3A"/>
    <w:pPr>
      <w:autoSpaceDE w:val="0"/>
      <w:autoSpaceDN w:val="0"/>
      <w:adjustRightInd w:val="0"/>
      <w:ind w:left="0" w:firstLine="0"/>
      <w:jc w:val="left"/>
    </w:pPr>
    <w:rPr>
      <w:rFonts w:ascii="Times New Roman" w:hAnsi="Times New Roman" w:cs="Times New Roman"/>
      <w:color w:val="000000"/>
      <w:sz w:val="24"/>
      <w:szCs w:val="24"/>
      <w:lang w:val="fr-FR" w:bidi="ar-SA"/>
    </w:rPr>
  </w:style>
  <w:style w:type="paragraph" w:styleId="Textedebulles">
    <w:name w:val="Balloon Text"/>
    <w:basedOn w:val="Normal"/>
    <w:link w:val="TextedebullesCar"/>
    <w:uiPriority w:val="99"/>
    <w:semiHidden/>
    <w:unhideWhenUsed/>
    <w:rsid w:val="00673D3A"/>
    <w:rPr>
      <w:rFonts w:ascii="Tahoma" w:hAnsi="Tahoma" w:cs="Tahoma"/>
      <w:sz w:val="16"/>
      <w:szCs w:val="16"/>
    </w:rPr>
  </w:style>
  <w:style w:type="character" w:customStyle="1" w:styleId="TextedebullesCar">
    <w:name w:val="Texte de bulles Car"/>
    <w:basedOn w:val="Policepardfaut"/>
    <w:link w:val="Textedebulles"/>
    <w:uiPriority w:val="99"/>
    <w:semiHidden/>
    <w:rsid w:val="00673D3A"/>
    <w:rPr>
      <w:rFonts w:ascii="Tahoma" w:hAnsi="Tahoma" w:cs="Tahoma"/>
      <w:sz w:val="16"/>
      <w:szCs w:val="16"/>
    </w:rPr>
  </w:style>
  <w:style w:type="paragraph" w:styleId="En-tte">
    <w:name w:val="header"/>
    <w:basedOn w:val="Normal"/>
    <w:link w:val="En-tteCar"/>
    <w:uiPriority w:val="99"/>
    <w:semiHidden/>
    <w:unhideWhenUsed/>
    <w:rsid w:val="008E69C4"/>
    <w:pPr>
      <w:tabs>
        <w:tab w:val="center" w:pos="4153"/>
        <w:tab w:val="right" w:pos="8306"/>
      </w:tabs>
    </w:pPr>
  </w:style>
  <w:style w:type="character" w:customStyle="1" w:styleId="En-tteCar">
    <w:name w:val="En-tête Car"/>
    <w:basedOn w:val="Policepardfaut"/>
    <w:link w:val="En-tte"/>
    <w:uiPriority w:val="99"/>
    <w:semiHidden/>
    <w:rsid w:val="008E69C4"/>
  </w:style>
  <w:style w:type="paragraph" w:styleId="Pieddepage">
    <w:name w:val="footer"/>
    <w:basedOn w:val="Normal"/>
    <w:link w:val="PieddepageCar"/>
    <w:uiPriority w:val="99"/>
    <w:unhideWhenUsed/>
    <w:rsid w:val="008E69C4"/>
    <w:pPr>
      <w:tabs>
        <w:tab w:val="center" w:pos="4153"/>
        <w:tab w:val="right" w:pos="8306"/>
      </w:tabs>
    </w:pPr>
  </w:style>
  <w:style w:type="character" w:customStyle="1" w:styleId="PieddepageCar">
    <w:name w:val="Pied de page Car"/>
    <w:basedOn w:val="Policepardfaut"/>
    <w:link w:val="Pieddepage"/>
    <w:uiPriority w:val="99"/>
    <w:rsid w:val="008E69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Pages>
  <Words>574</Words>
  <Characters>3162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2017-11-21T23:02:00Z</cp:lastPrinted>
  <dcterms:created xsi:type="dcterms:W3CDTF">2017-11-21T20:55:00Z</dcterms:created>
  <dcterms:modified xsi:type="dcterms:W3CDTF">2018-11-23T10:21:00Z</dcterms:modified>
</cp:coreProperties>
</file>