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E80" w:rsidRDefault="00B93E80" w:rsidP="00B93E80">
      <w:pPr>
        <w:autoSpaceDE w:val="0"/>
        <w:autoSpaceDN w:val="0"/>
        <w:adjustRightInd w:val="0"/>
        <w:spacing w:after="0" w:line="240" w:lineRule="auto"/>
        <w:jc w:val="center"/>
        <w:rPr>
          <w:rFonts w:asciiTheme="majorBidi" w:hAnsiTheme="majorBidi" w:cstheme="majorBidi"/>
          <w:b/>
          <w:bCs/>
          <w:sz w:val="28"/>
          <w:szCs w:val="28"/>
        </w:rPr>
      </w:pPr>
    </w:p>
    <w:p w:rsidR="000E4730" w:rsidRDefault="00B93E80" w:rsidP="00B63059">
      <w:pPr>
        <w:autoSpaceDE w:val="0"/>
        <w:autoSpaceDN w:val="0"/>
        <w:adjustRightInd w:val="0"/>
        <w:spacing w:after="0" w:line="360" w:lineRule="auto"/>
        <w:jc w:val="center"/>
        <w:rPr>
          <w:rFonts w:asciiTheme="majorBidi" w:hAnsiTheme="majorBidi" w:cstheme="majorBidi"/>
          <w:b/>
          <w:bCs/>
          <w:sz w:val="28"/>
          <w:szCs w:val="28"/>
        </w:rPr>
      </w:pPr>
      <w:r>
        <w:rPr>
          <w:rFonts w:asciiTheme="majorBidi" w:hAnsiTheme="majorBidi" w:cstheme="majorBidi"/>
          <w:b/>
          <w:bCs/>
          <w:sz w:val="28"/>
          <w:szCs w:val="28"/>
        </w:rPr>
        <w:t xml:space="preserve">CHAPITRE II : </w:t>
      </w:r>
      <w:r w:rsidR="00DA043E" w:rsidRPr="00243FBD">
        <w:rPr>
          <w:rFonts w:asciiTheme="majorBidi" w:hAnsiTheme="majorBidi" w:cstheme="majorBidi"/>
          <w:b/>
          <w:bCs/>
          <w:sz w:val="28"/>
          <w:szCs w:val="28"/>
        </w:rPr>
        <w:t>PHARMACOCINETIQUE ET METABOLISME DES MEDICAMENTS</w:t>
      </w:r>
    </w:p>
    <w:p w:rsidR="00B63059" w:rsidRPr="00243FBD" w:rsidRDefault="00B63059" w:rsidP="00B63059">
      <w:pPr>
        <w:autoSpaceDE w:val="0"/>
        <w:autoSpaceDN w:val="0"/>
        <w:adjustRightInd w:val="0"/>
        <w:spacing w:after="0" w:line="360" w:lineRule="auto"/>
        <w:jc w:val="center"/>
        <w:rPr>
          <w:rFonts w:asciiTheme="majorBidi" w:hAnsiTheme="majorBidi" w:cstheme="majorBidi"/>
          <w:b/>
          <w:bCs/>
          <w:sz w:val="28"/>
          <w:szCs w:val="28"/>
        </w:rPr>
      </w:pPr>
    </w:p>
    <w:p w:rsidR="000E4730" w:rsidRPr="00243FBD" w:rsidRDefault="000E4730" w:rsidP="00243FBD">
      <w:pPr>
        <w:pStyle w:val="Paragraphedeliste"/>
        <w:numPr>
          <w:ilvl w:val="0"/>
          <w:numId w:val="1"/>
        </w:numPr>
        <w:autoSpaceDE w:val="0"/>
        <w:autoSpaceDN w:val="0"/>
        <w:adjustRightInd w:val="0"/>
        <w:spacing w:after="0" w:line="360" w:lineRule="auto"/>
        <w:rPr>
          <w:rFonts w:asciiTheme="majorBidi" w:hAnsiTheme="majorBidi" w:cstheme="majorBidi"/>
          <w:b/>
          <w:bCs/>
          <w:sz w:val="24"/>
          <w:szCs w:val="24"/>
        </w:rPr>
      </w:pPr>
      <w:r w:rsidRPr="00243FBD">
        <w:rPr>
          <w:rFonts w:asciiTheme="majorBidi" w:hAnsiTheme="majorBidi" w:cstheme="majorBidi"/>
          <w:b/>
          <w:bCs/>
          <w:sz w:val="24"/>
          <w:szCs w:val="24"/>
        </w:rPr>
        <w:t>I</w:t>
      </w:r>
      <w:r w:rsidR="00451486">
        <w:rPr>
          <w:rFonts w:asciiTheme="majorBidi" w:hAnsiTheme="majorBidi" w:cstheme="majorBidi"/>
          <w:b/>
          <w:bCs/>
          <w:sz w:val="24"/>
          <w:szCs w:val="24"/>
        </w:rPr>
        <w:t>ntroduction</w:t>
      </w:r>
    </w:p>
    <w:p w:rsidR="000E4730" w:rsidRDefault="000E4730" w:rsidP="00EF58E0">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La pharmacocinétique a pour but d’étudier le devenir d’un médicament dans l’organisme.</w:t>
      </w:r>
      <w:r w:rsidR="00243FBD">
        <w:rPr>
          <w:rFonts w:ascii="Times New Roman" w:hAnsi="Times New Roman" w:cs="Times New Roman"/>
          <w:sz w:val="24"/>
          <w:szCs w:val="24"/>
        </w:rPr>
        <w:t xml:space="preserve"> </w:t>
      </w:r>
      <w:r>
        <w:rPr>
          <w:rFonts w:ascii="Times New Roman" w:hAnsi="Times New Roman" w:cs="Times New Roman"/>
          <w:sz w:val="24"/>
          <w:szCs w:val="24"/>
        </w:rPr>
        <w:t>La détermination des paramètres pharmacocinétiques d’un médicament apporte les informations qui permettent de choisir les voies d’administration et d’adapter les posologies pour son utilisation future.</w:t>
      </w:r>
    </w:p>
    <w:p w:rsidR="000E4730" w:rsidRDefault="000E4730" w:rsidP="00EF58E0">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On peut distinguer schématiquement 4 étapes dans la pharmacocinétique d’un médicament :</w:t>
      </w:r>
    </w:p>
    <w:p w:rsidR="000E4730" w:rsidRDefault="000E4730" w:rsidP="00243FB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son absorption</w:t>
      </w:r>
    </w:p>
    <w:p w:rsidR="000E4730" w:rsidRDefault="000E4730" w:rsidP="00243FB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sa diffusion dans l’organisme</w:t>
      </w:r>
    </w:p>
    <w:p w:rsidR="000E4730" w:rsidRDefault="000E4730" w:rsidP="00243FB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son métabolisme</w:t>
      </w:r>
    </w:p>
    <w:p w:rsidR="000E4730" w:rsidRDefault="000E4730" w:rsidP="00243FBD">
      <w:pPr>
        <w:spacing w:line="360" w:lineRule="auto"/>
        <w:jc w:val="both"/>
        <w:rPr>
          <w:rFonts w:ascii="Times New Roman" w:hAnsi="Times New Roman" w:cs="Times New Roman"/>
          <w:sz w:val="24"/>
          <w:szCs w:val="24"/>
        </w:rPr>
      </w:pPr>
      <w:r>
        <w:rPr>
          <w:rFonts w:ascii="Times New Roman" w:hAnsi="Times New Roman" w:cs="Times New Roman"/>
          <w:sz w:val="24"/>
          <w:szCs w:val="24"/>
        </w:rPr>
        <w:t>— son élimination de l’organisme</w:t>
      </w:r>
    </w:p>
    <w:p w:rsidR="00243FBD" w:rsidRDefault="001C5E38" w:rsidP="00243FBD">
      <w:pPr>
        <w:jc w:val="center"/>
      </w:pPr>
      <w:r>
        <w:rPr>
          <w:noProof/>
          <w:lang w:eastAsia="fr-FR"/>
        </w:rPr>
        <w:lastRenderedPageBreak/>
        <w:drawing>
          <wp:inline distT="0" distB="0" distL="0" distR="0" wp14:anchorId="154416F9" wp14:editId="70320EE5">
            <wp:extent cx="5759370" cy="467677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677871"/>
                    </a:xfrm>
                    <a:prstGeom prst="rect">
                      <a:avLst/>
                    </a:prstGeom>
                    <a:noFill/>
                    <a:ln>
                      <a:noFill/>
                    </a:ln>
                  </pic:spPr>
                </pic:pic>
              </a:graphicData>
            </a:graphic>
          </wp:inline>
        </w:drawing>
      </w:r>
    </w:p>
    <w:p w:rsidR="004E5A98" w:rsidRPr="004E5A98" w:rsidRDefault="000E4730" w:rsidP="004E5A98">
      <w:pPr>
        <w:pStyle w:val="Paragraphedeliste"/>
        <w:numPr>
          <w:ilvl w:val="0"/>
          <w:numId w:val="1"/>
        </w:numPr>
        <w:spacing w:line="360" w:lineRule="auto"/>
        <w:rPr>
          <w:rFonts w:asciiTheme="majorBidi" w:hAnsiTheme="majorBidi" w:cstheme="majorBidi"/>
          <w:b/>
          <w:bCs/>
          <w:sz w:val="24"/>
          <w:szCs w:val="24"/>
        </w:rPr>
      </w:pPr>
      <w:r w:rsidRPr="00243FBD">
        <w:rPr>
          <w:rFonts w:asciiTheme="majorBidi" w:hAnsiTheme="majorBidi" w:cstheme="majorBidi"/>
          <w:b/>
          <w:bCs/>
          <w:sz w:val="24"/>
          <w:szCs w:val="24"/>
        </w:rPr>
        <w:t>Absorption d’un médicament</w:t>
      </w:r>
      <w:r w:rsidR="004E5A98" w:rsidRPr="004E5A98">
        <w:t xml:space="preserve"> </w:t>
      </w:r>
    </w:p>
    <w:p w:rsidR="008111B3" w:rsidRDefault="000E4730" w:rsidP="00A33AD0">
      <w:pPr>
        <w:spacing w:line="360" w:lineRule="auto"/>
        <w:ind w:firstLine="567"/>
        <w:jc w:val="both"/>
        <w:rPr>
          <w:rFonts w:ascii="Times New Roman" w:hAnsi="Times New Roman" w:cs="Times New Roman"/>
          <w:sz w:val="24"/>
          <w:szCs w:val="24"/>
        </w:rPr>
      </w:pPr>
      <w:r w:rsidRPr="004E5A98">
        <w:rPr>
          <w:rFonts w:ascii="Times New Roman" w:hAnsi="Times New Roman" w:cs="Times New Roman"/>
          <w:sz w:val="24"/>
          <w:szCs w:val="24"/>
        </w:rPr>
        <w:t>L’absorption est le processus p</w:t>
      </w:r>
      <w:r w:rsidR="003C6555">
        <w:rPr>
          <w:rFonts w:ascii="Times New Roman" w:hAnsi="Times New Roman" w:cs="Times New Roman"/>
          <w:sz w:val="24"/>
          <w:szCs w:val="24"/>
        </w:rPr>
        <w:t>ar lequel le médicament</w:t>
      </w:r>
      <w:r w:rsidRPr="004E5A98">
        <w:rPr>
          <w:rFonts w:ascii="Times New Roman" w:hAnsi="Times New Roman" w:cs="Times New Roman"/>
          <w:sz w:val="24"/>
          <w:szCs w:val="24"/>
        </w:rPr>
        <w:t xml:space="preserve"> passe de son site d’administration à la circulation générale. La voie d’administration du médicament influence cett</w:t>
      </w:r>
      <w:r w:rsidR="00EC02A0" w:rsidRPr="004E5A98">
        <w:rPr>
          <w:rFonts w:ascii="Times New Roman" w:hAnsi="Times New Roman" w:cs="Times New Roman"/>
          <w:sz w:val="24"/>
          <w:szCs w:val="24"/>
        </w:rPr>
        <w:t xml:space="preserve">e première phase, </w:t>
      </w:r>
      <w:r w:rsidRPr="004E5A98">
        <w:rPr>
          <w:rFonts w:ascii="Times New Roman" w:hAnsi="Times New Roman" w:cs="Times New Roman"/>
          <w:sz w:val="24"/>
          <w:szCs w:val="24"/>
        </w:rPr>
        <w:t xml:space="preserve">la voie </w:t>
      </w:r>
      <w:proofErr w:type="spellStart"/>
      <w:r w:rsidRPr="004E5A98">
        <w:rPr>
          <w:rFonts w:ascii="Times New Roman" w:hAnsi="Times New Roman" w:cs="Times New Roman"/>
          <w:sz w:val="24"/>
          <w:szCs w:val="24"/>
        </w:rPr>
        <w:t>intra-veineuse</w:t>
      </w:r>
      <w:proofErr w:type="spellEnd"/>
      <w:r w:rsidRPr="004E5A98">
        <w:rPr>
          <w:rFonts w:ascii="Times New Roman" w:hAnsi="Times New Roman" w:cs="Times New Roman"/>
          <w:sz w:val="24"/>
          <w:szCs w:val="24"/>
        </w:rPr>
        <w:t xml:space="preserve"> est la voie de référence puisque par définition, à la différence des autres voies toute la dose administrée atteint la circulation générale.</w:t>
      </w:r>
    </w:p>
    <w:p w:rsidR="003C6555" w:rsidRDefault="003C6555" w:rsidP="003C6555">
      <w:pPr>
        <w:pStyle w:val="Paragraphedeliste"/>
        <w:numPr>
          <w:ilvl w:val="0"/>
          <w:numId w:val="5"/>
        </w:numPr>
        <w:autoSpaceDE w:val="0"/>
        <w:autoSpaceDN w:val="0"/>
        <w:adjustRightInd w:val="0"/>
        <w:spacing w:after="0" w:line="360" w:lineRule="auto"/>
        <w:jc w:val="both"/>
        <w:rPr>
          <w:rFonts w:asciiTheme="majorBidi" w:hAnsiTheme="majorBidi" w:cstheme="majorBidi"/>
          <w:sz w:val="24"/>
          <w:szCs w:val="24"/>
        </w:rPr>
      </w:pPr>
      <w:r w:rsidRPr="003C6555">
        <w:rPr>
          <w:rFonts w:asciiTheme="majorBidi" w:hAnsiTheme="majorBidi" w:cstheme="majorBidi"/>
          <w:sz w:val="24"/>
          <w:szCs w:val="24"/>
        </w:rPr>
        <w:t xml:space="preserve">elle est </w:t>
      </w:r>
      <w:r w:rsidRPr="003C6555">
        <w:rPr>
          <w:rFonts w:asciiTheme="majorBidi" w:hAnsiTheme="majorBidi" w:cstheme="majorBidi"/>
          <w:b/>
          <w:bCs/>
          <w:sz w:val="24"/>
          <w:szCs w:val="24"/>
        </w:rPr>
        <w:t xml:space="preserve">directe </w:t>
      </w:r>
      <w:r w:rsidRPr="003C6555">
        <w:rPr>
          <w:rFonts w:asciiTheme="majorBidi" w:hAnsiTheme="majorBidi" w:cstheme="majorBidi"/>
          <w:sz w:val="24"/>
          <w:szCs w:val="24"/>
        </w:rPr>
        <w:t>quand le médicament pénètre directement dans l’organisme (voies intraveineuse, intramusculaire, sous-cutanée, etc.) ;</w:t>
      </w:r>
    </w:p>
    <w:p w:rsidR="003C6555" w:rsidRPr="003C6555" w:rsidRDefault="003C6555" w:rsidP="003C6555">
      <w:pPr>
        <w:pStyle w:val="Paragraphedeliste"/>
        <w:numPr>
          <w:ilvl w:val="0"/>
          <w:numId w:val="5"/>
        </w:numPr>
        <w:autoSpaceDE w:val="0"/>
        <w:autoSpaceDN w:val="0"/>
        <w:adjustRightInd w:val="0"/>
        <w:spacing w:after="0" w:line="360" w:lineRule="auto"/>
        <w:jc w:val="both"/>
        <w:rPr>
          <w:rFonts w:asciiTheme="majorBidi" w:hAnsiTheme="majorBidi" w:cstheme="majorBidi"/>
          <w:sz w:val="24"/>
          <w:szCs w:val="24"/>
        </w:rPr>
      </w:pPr>
      <w:r w:rsidRPr="003C6555">
        <w:rPr>
          <w:rFonts w:asciiTheme="majorBidi" w:hAnsiTheme="majorBidi" w:cstheme="majorBidi"/>
          <w:sz w:val="24"/>
          <w:szCs w:val="24"/>
        </w:rPr>
        <w:t xml:space="preserve">elle est </w:t>
      </w:r>
      <w:r w:rsidRPr="003C6555">
        <w:rPr>
          <w:rFonts w:asciiTheme="majorBidi" w:hAnsiTheme="majorBidi" w:cstheme="majorBidi"/>
          <w:b/>
          <w:bCs/>
          <w:sz w:val="24"/>
          <w:szCs w:val="24"/>
        </w:rPr>
        <w:t xml:space="preserve">indirecte </w:t>
      </w:r>
      <w:r w:rsidRPr="003C6555">
        <w:rPr>
          <w:rFonts w:asciiTheme="majorBidi" w:hAnsiTheme="majorBidi" w:cstheme="majorBidi"/>
          <w:sz w:val="24"/>
          <w:szCs w:val="24"/>
        </w:rPr>
        <w:t>quand le médicament doit traverser une barrière avant de passer dans la circulation générale (voie orale, application sur la peau).</w:t>
      </w:r>
    </w:p>
    <w:p w:rsidR="008111B3" w:rsidRPr="00156343" w:rsidRDefault="00156343" w:rsidP="004E5A98">
      <w:pPr>
        <w:pStyle w:val="Paragraphedeliste"/>
        <w:numPr>
          <w:ilvl w:val="1"/>
          <w:numId w:val="1"/>
        </w:num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 </w:t>
      </w:r>
      <w:r w:rsidR="008111B3" w:rsidRPr="00156343">
        <w:rPr>
          <w:rFonts w:asciiTheme="majorBidi" w:hAnsiTheme="majorBidi" w:cstheme="majorBidi"/>
          <w:b/>
          <w:bCs/>
          <w:sz w:val="24"/>
          <w:szCs w:val="24"/>
        </w:rPr>
        <w:t>Différentes voies d’administration d’un médicament</w:t>
      </w:r>
    </w:p>
    <w:p w:rsidR="00F51A3A" w:rsidRDefault="008111B3" w:rsidP="004052FD">
      <w:pPr>
        <w:pStyle w:val="Paragraphedeliste"/>
        <w:numPr>
          <w:ilvl w:val="0"/>
          <w:numId w:val="4"/>
        </w:numPr>
        <w:autoSpaceDE w:val="0"/>
        <w:autoSpaceDN w:val="0"/>
        <w:adjustRightInd w:val="0"/>
        <w:spacing w:after="0" w:line="360" w:lineRule="auto"/>
        <w:jc w:val="both"/>
        <w:rPr>
          <w:rFonts w:asciiTheme="majorBidi" w:hAnsiTheme="majorBidi" w:cstheme="majorBidi"/>
          <w:sz w:val="24"/>
          <w:szCs w:val="24"/>
        </w:rPr>
      </w:pPr>
      <w:r w:rsidRPr="00F51A3A">
        <w:rPr>
          <w:rFonts w:asciiTheme="majorBidi" w:hAnsiTheme="majorBidi" w:cstheme="majorBidi"/>
          <w:b/>
          <w:bCs/>
          <w:sz w:val="24"/>
          <w:szCs w:val="24"/>
        </w:rPr>
        <w:t>voie</w:t>
      </w:r>
      <w:r w:rsidRPr="00F51A3A">
        <w:rPr>
          <w:rFonts w:asciiTheme="majorBidi" w:hAnsiTheme="majorBidi" w:cstheme="majorBidi"/>
          <w:sz w:val="24"/>
          <w:szCs w:val="24"/>
        </w:rPr>
        <w:t xml:space="preserve"> </w:t>
      </w:r>
      <w:r w:rsidRPr="00F51A3A">
        <w:rPr>
          <w:rFonts w:asciiTheme="majorBidi" w:hAnsiTheme="majorBidi" w:cstheme="majorBidi"/>
          <w:b/>
          <w:bCs/>
          <w:sz w:val="24"/>
          <w:szCs w:val="24"/>
        </w:rPr>
        <w:t>orale</w:t>
      </w:r>
      <w:r w:rsidR="00EA4026" w:rsidRPr="00F51A3A">
        <w:rPr>
          <w:rFonts w:asciiTheme="majorBidi" w:hAnsiTheme="majorBidi" w:cstheme="majorBidi"/>
          <w:sz w:val="24"/>
          <w:szCs w:val="24"/>
        </w:rPr>
        <w:t xml:space="preserve"> </w:t>
      </w:r>
      <w:r w:rsidR="00261D2E" w:rsidRPr="00F51A3A">
        <w:rPr>
          <w:rFonts w:asciiTheme="majorBidi" w:hAnsiTheme="majorBidi" w:cstheme="majorBidi"/>
          <w:sz w:val="24"/>
          <w:szCs w:val="24"/>
        </w:rPr>
        <w:t>:</w:t>
      </w:r>
      <w:r w:rsidR="00261D2E" w:rsidRPr="00F51A3A">
        <w:rPr>
          <w:rFonts w:asciiTheme="majorBidi" w:hAnsiTheme="majorBidi" w:cstheme="majorBidi"/>
          <w:b/>
          <w:bCs/>
          <w:sz w:val="24"/>
          <w:szCs w:val="24"/>
        </w:rPr>
        <w:t xml:space="preserve"> </w:t>
      </w:r>
      <w:r w:rsidR="003C6555" w:rsidRPr="00F51A3A">
        <w:rPr>
          <w:rFonts w:asciiTheme="majorBidi" w:hAnsiTheme="majorBidi" w:cstheme="majorBidi"/>
          <w:sz w:val="24"/>
          <w:szCs w:val="24"/>
        </w:rPr>
        <w:t>C’est la voie la plus utilisée. Après administration orale, le médicament traverse la barrière intestinale puis le foie avant d’atteindre la circulation générale et de là les organes pour son action thérapeutique.</w:t>
      </w:r>
      <w:r w:rsidR="004052FD" w:rsidRPr="00F51A3A">
        <w:rPr>
          <w:rFonts w:asciiTheme="majorBidi" w:hAnsiTheme="majorBidi" w:cstheme="majorBidi"/>
          <w:sz w:val="24"/>
          <w:szCs w:val="24"/>
        </w:rPr>
        <w:t xml:space="preserve"> </w:t>
      </w:r>
    </w:p>
    <w:p w:rsidR="004052FD" w:rsidRPr="00F51A3A" w:rsidRDefault="008111B3" w:rsidP="004052FD">
      <w:pPr>
        <w:pStyle w:val="Paragraphedeliste"/>
        <w:numPr>
          <w:ilvl w:val="0"/>
          <w:numId w:val="4"/>
        </w:numPr>
        <w:autoSpaceDE w:val="0"/>
        <w:autoSpaceDN w:val="0"/>
        <w:adjustRightInd w:val="0"/>
        <w:spacing w:after="0" w:line="360" w:lineRule="auto"/>
        <w:jc w:val="both"/>
        <w:rPr>
          <w:rFonts w:asciiTheme="majorBidi" w:hAnsiTheme="majorBidi" w:cstheme="majorBidi"/>
          <w:sz w:val="24"/>
          <w:szCs w:val="24"/>
        </w:rPr>
      </w:pPr>
      <w:r w:rsidRPr="00F51A3A">
        <w:rPr>
          <w:rFonts w:asciiTheme="majorBidi" w:hAnsiTheme="majorBidi" w:cstheme="majorBidi"/>
          <w:b/>
          <w:bCs/>
          <w:sz w:val="24"/>
          <w:szCs w:val="24"/>
        </w:rPr>
        <w:lastRenderedPageBreak/>
        <w:t>voie</w:t>
      </w:r>
      <w:r w:rsidRPr="00F51A3A">
        <w:rPr>
          <w:rFonts w:asciiTheme="majorBidi" w:hAnsiTheme="majorBidi" w:cstheme="majorBidi"/>
          <w:sz w:val="24"/>
          <w:szCs w:val="24"/>
        </w:rPr>
        <w:t xml:space="preserve"> </w:t>
      </w:r>
      <w:proofErr w:type="spellStart"/>
      <w:r w:rsidRPr="00F51A3A">
        <w:rPr>
          <w:rFonts w:asciiTheme="majorBidi" w:hAnsiTheme="majorBidi" w:cstheme="majorBidi"/>
          <w:b/>
          <w:bCs/>
          <w:sz w:val="24"/>
          <w:szCs w:val="24"/>
        </w:rPr>
        <w:t>intra-veineuse</w:t>
      </w:r>
      <w:proofErr w:type="spellEnd"/>
      <w:r w:rsidRPr="00F51A3A">
        <w:rPr>
          <w:rFonts w:asciiTheme="majorBidi" w:hAnsiTheme="majorBidi" w:cstheme="majorBidi"/>
          <w:b/>
          <w:bCs/>
          <w:sz w:val="24"/>
          <w:szCs w:val="24"/>
        </w:rPr>
        <w:t xml:space="preserve"> </w:t>
      </w:r>
      <w:r w:rsidRPr="00F51A3A">
        <w:rPr>
          <w:rFonts w:asciiTheme="majorBidi" w:hAnsiTheme="majorBidi" w:cstheme="majorBidi"/>
          <w:sz w:val="24"/>
          <w:szCs w:val="24"/>
        </w:rPr>
        <w:t>: sur une veine périphérique ou centrale</w:t>
      </w:r>
      <w:r w:rsidR="005407A3" w:rsidRPr="00F51A3A">
        <w:rPr>
          <w:rFonts w:asciiTheme="majorBidi" w:hAnsiTheme="majorBidi" w:cstheme="majorBidi"/>
          <w:sz w:val="24"/>
          <w:szCs w:val="24"/>
        </w:rPr>
        <w:t>, elle permet d’obtenir rapidement des concentrations plasmatiques élevées. Mais elle comporte le risque d’atteindre localement des concentrations toxiques en particulier si l’index thérapeutique est réduit</w:t>
      </w:r>
      <w:r w:rsidR="00E713CF">
        <w:rPr>
          <w:rFonts w:asciiTheme="majorBidi" w:hAnsiTheme="majorBidi" w:cstheme="majorBidi"/>
          <w:sz w:val="24"/>
          <w:szCs w:val="24"/>
        </w:rPr>
        <w:t>.</w:t>
      </w:r>
    </w:p>
    <w:p w:rsidR="00B53624" w:rsidRDefault="00B53624" w:rsidP="00E713CF">
      <w:pPr>
        <w:pStyle w:val="Paragraphedeliste"/>
        <w:numPr>
          <w:ilvl w:val="0"/>
          <w:numId w:val="4"/>
        </w:numPr>
        <w:autoSpaceDE w:val="0"/>
        <w:autoSpaceDN w:val="0"/>
        <w:adjustRightInd w:val="0"/>
        <w:spacing w:after="0" w:line="360" w:lineRule="auto"/>
        <w:jc w:val="both"/>
        <w:rPr>
          <w:rFonts w:asciiTheme="majorBidi" w:hAnsiTheme="majorBidi" w:cstheme="majorBidi"/>
          <w:sz w:val="24"/>
          <w:szCs w:val="24"/>
        </w:rPr>
      </w:pPr>
      <w:r w:rsidRPr="00B53624">
        <w:rPr>
          <w:rFonts w:asciiTheme="majorBidi" w:hAnsiTheme="majorBidi" w:cstheme="majorBidi"/>
          <w:b/>
          <w:bCs/>
          <w:sz w:val="24"/>
          <w:szCs w:val="24"/>
        </w:rPr>
        <w:t>voie</w:t>
      </w:r>
      <w:r w:rsidRPr="00B53624">
        <w:rPr>
          <w:rFonts w:asciiTheme="majorBidi" w:hAnsiTheme="majorBidi" w:cstheme="majorBidi"/>
          <w:sz w:val="24"/>
          <w:szCs w:val="24"/>
        </w:rPr>
        <w:t xml:space="preserve"> </w:t>
      </w:r>
      <w:proofErr w:type="spellStart"/>
      <w:r w:rsidRPr="00B53624">
        <w:rPr>
          <w:rFonts w:asciiTheme="majorBidi" w:hAnsiTheme="majorBidi" w:cstheme="majorBidi"/>
          <w:b/>
          <w:bCs/>
          <w:sz w:val="24"/>
          <w:szCs w:val="24"/>
        </w:rPr>
        <w:t>intra-musculaire</w:t>
      </w:r>
      <w:proofErr w:type="spellEnd"/>
      <w:r w:rsidRPr="00B53624">
        <w:rPr>
          <w:rFonts w:asciiTheme="majorBidi" w:hAnsiTheme="majorBidi" w:cstheme="majorBidi"/>
          <w:b/>
          <w:bCs/>
          <w:sz w:val="24"/>
          <w:szCs w:val="24"/>
        </w:rPr>
        <w:t xml:space="preserve"> </w:t>
      </w:r>
      <w:r w:rsidRPr="00B53624">
        <w:rPr>
          <w:rFonts w:asciiTheme="majorBidi" w:hAnsiTheme="majorBidi" w:cstheme="majorBidi"/>
          <w:sz w:val="24"/>
          <w:szCs w:val="24"/>
        </w:rPr>
        <w:t>: L’injection intramusculaire permet d’injecter des préparations douloureuses par vo</w:t>
      </w:r>
      <w:r w:rsidR="00E713CF">
        <w:rPr>
          <w:rFonts w:asciiTheme="majorBidi" w:hAnsiTheme="majorBidi" w:cstheme="majorBidi"/>
          <w:sz w:val="24"/>
          <w:szCs w:val="24"/>
        </w:rPr>
        <w:t>ie sous-cutanée, en particulier</w:t>
      </w:r>
      <w:r w:rsidRPr="00B53624">
        <w:rPr>
          <w:rFonts w:asciiTheme="majorBidi" w:hAnsiTheme="majorBidi" w:cstheme="majorBidi"/>
          <w:sz w:val="24"/>
          <w:szCs w:val="24"/>
        </w:rPr>
        <w:t xml:space="preserve"> les suspensions huileuses. La vitesse de résorption des médicaments administrés en intramusculaire et en sous-cutané est très voisine. </w:t>
      </w:r>
    </w:p>
    <w:p w:rsidR="00B53624" w:rsidRPr="00B53624" w:rsidRDefault="00B53624" w:rsidP="00B53624">
      <w:pPr>
        <w:pStyle w:val="Paragraphedeliste"/>
        <w:numPr>
          <w:ilvl w:val="0"/>
          <w:numId w:val="4"/>
        </w:numPr>
        <w:autoSpaceDE w:val="0"/>
        <w:autoSpaceDN w:val="0"/>
        <w:adjustRightInd w:val="0"/>
        <w:spacing w:after="0" w:line="360" w:lineRule="auto"/>
        <w:jc w:val="both"/>
        <w:rPr>
          <w:rFonts w:asciiTheme="majorBidi" w:hAnsiTheme="majorBidi" w:cstheme="majorBidi"/>
          <w:b/>
          <w:bCs/>
          <w:sz w:val="24"/>
          <w:szCs w:val="24"/>
        </w:rPr>
      </w:pPr>
      <w:r w:rsidRPr="00B53624">
        <w:rPr>
          <w:rFonts w:asciiTheme="majorBidi" w:hAnsiTheme="majorBidi" w:cstheme="majorBidi"/>
          <w:b/>
          <w:bCs/>
          <w:sz w:val="24"/>
          <w:szCs w:val="24"/>
        </w:rPr>
        <w:t>voie</w:t>
      </w:r>
      <w:r w:rsidRPr="00B53624">
        <w:rPr>
          <w:rFonts w:asciiTheme="majorBidi" w:hAnsiTheme="majorBidi" w:cstheme="majorBidi"/>
          <w:sz w:val="24"/>
          <w:szCs w:val="24"/>
        </w:rPr>
        <w:t xml:space="preserve"> </w:t>
      </w:r>
      <w:r w:rsidRPr="00B53624">
        <w:rPr>
          <w:rFonts w:asciiTheme="majorBidi" w:hAnsiTheme="majorBidi" w:cstheme="majorBidi"/>
          <w:b/>
          <w:bCs/>
          <w:sz w:val="24"/>
          <w:szCs w:val="24"/>
        </w:rPr>
        <w:t xml:space="preserve">sous-cutanée </w:t>
      </w:r>
      <w:r w:rsidRPr="00B53624">
        <w:rPr>
          <w:rFonts w:asciiTheme="majorBidi" w:hAnsiTheme="majorBidi" w:cstheme="majorBidi"/>
          <w:sz w:val="24"/>
          <w:szCs w:val="24"/>
        </w:rPr>
        <w:t xml:space="preserve">: Par cette voie, on administre surtout des médicaments en solution aqueuse en administration sous la peau au niveau de l'abdomen, de l'épaule ou de la cuisse. Cette voie est utilisée pour obtenir une action lente du médicament. </w:t>
      </w:r>
    </w:p>
    <w:p w:rsidR="00B53624" w:rsidRDefault="008111B3" w:rsidP="00B53624">
      <w:pPr>
        <w:pStyle w:val="Paragraphedeliste"/>
        <w:numPr>
          <w:ilvl w:val="0"/>
          <w:numId w:val="4"/>
        </w:numPr>
        <w:autoSpaceDE w:val="0"/>
        <w:autoSpaceDN w:val="0"/>
        <w:adjustRightInd w:val="0"/>
        <w:spacing w:after="0" w:line="360" w:lineRule="auto"/>
        <w:jc w:val="both"/>
        <w:rPr>
          <w:rFonts w:asciiTheme="majorBidi" w:hAnsiTheme="majorBidi" w:cstheme="majorBidi"/>
          <w:sz w:val="24"/>
          <w:szCs w:val="24"/>
        </w:rPr>
      </w:pPr>
      <w:r w:rsidRPr="004052FD">
        <w:rPr>
          <w:rFonts w:asciiTheme="majorBidi" w:hAnsiTheme="majorBidi" w:cstheme="majorBidi"/>
          <w:b/>
          <w:bCs/>
          <w:sz w:val="24"/>
          <w:szCs w:val="24"/>
        </w:rPr>
        <w:t>voie</w:t>
      </w:r>
      <w:r w:rsidRPr="004052FD">
        <w:rPr>
          <w:rFonts w:asciiTheme="majorBidi" w:hAnsiTheme="majorBidi" w:cstheme="majorBidi"/>
          <w:sz w:val="24"/>
          <w:szCs w:val="24"/>
        </w:rPr>
        <w:t xml:space="preserve"> </w:t>
      </w:r>
      <w:proofErr w:type="spellStart"/>
      <w:r w:rsidRPr="004052FD">
        <w:rPr>
          <w:rFonts w:asciiTheme="majorBidi" w:hAnsiTheme="majorBidi" w:cstheme="majorBidi"/>
          <w:b/>
          <w:bCs/>
          <w:sz w:val="24"/>
          <w:szCs w:val="24"/>
        </w:rPr>
        <w:t>sub-linguale</w:t>
      </w:r>
      <w:proofErr w:type="spellEnd"/>
      <w:r w:rsidR="004E5A98" w:rsidRPr="004052FD">
        <w:rPr>
          <w:rFonts w:asciiTheme="majorBidi" w:hAnsiTheme="majorBidi" w:cstheme="majorBidi"/>
          <w:b/>
          <w:bCs/>
          <w:sz w:val="24"/>
          <w:szCs w:val="24"/>
        </w:rPr>
        <w:t> </w:t>
      </w:r>
      <w:r w:rsidR="004E5A98" w:rsidRPr="004052FD">
        <w:rPr>
          <w:rFonts w:asciiTheme="majorBidi" w:hAnsiTheme="majorBidi" w:cstheme="majorBidi"/>
          <w:sz w:val="24"/>
          <w:szCs w:val="24"/>
        </w:rPr>
        <w:t xml:space="preserve">: </w:t>
      </w:r>
      <w:r w:rsidR="004052FD" w:rsidRPr="004052FD">
        <w:rPr>
          <w:rFonts w:asciiTheme="majorBidi" w:hAnsiTheme="majorBidi" w:cstheme="majorBidi"/>
          <w:sz w:val="24"/>
          <w:szCs w:val="24"/>
        </w:rPr>
        <w:t>C’est une voie d’administration facile, pratique et rapide permettant une pénétration directe du médicament dans la circulation générale, sans passer par le foie, ce qui évite l’effet de premier passage hépatique</w:t>
      </w:r>
      <w:r w:rsidR="004052FD">
        <w:rPr>
          <w:rFonts w:asciiTheme="majorBidi" w:hAnsiTheme="majorBidi" w:cstheme="majorBidi"/>
          <w:sz w:val="24"/>
          <w:szCs w:val="24"/>
        </w:rPr>
        <w:t>.</w:t>
      </w:r>
    </w:p>
    <w:p w:rsidR="00B53624" w:rsidRPr="00B53624" w:rsidRDefault="008111B3" w:rsidP="00B53624">
      <w:pPr>
        <w:pStyle w:val="Paragraphedeliste"/>
        <w:numPr>
          <w:ilvl w:val="0"/>
          <w:numId w:val="4"/>
        </w:numPr>
        <w:autoSpaceDE w:val="0"/>
        <w:autoSpaceDN w:val="0"/>
        <w:adjustRightInd w:val="0"/>
        <w:spacing w:after="0" w:line="360" w:lineRule="auto"/>
        <w:jc w:val="both"/>
        <w:rPr>
          <w:rFonts w:asciiTheme="majorBidi" w:hAnsiTheme="majorBidi" w:cstheme="majorBidi"/>
          <w:sz w:val="24"/>
          <w:szCs w:val="24"/>
        </w:rPr>
      </w:pPr>
      <w:r w:rsidRPr="00B53624">
        <w:rPr>
          <w:rFonts w:asciiTheme="majorBidi" w:hAnsiTheme="majorBidi" w:cstheme="majorBidi"/>
          <w:b/>
          <w:bCs/>
          <w:sz w:val="24"/>
          <w:szCs w:val="24"/>
        </w:rPr>
        <w:t>voie</w:t>
      </w:r>
      <w:r w:rsidRPr="00B53624">
        <w:rPr>
          <w:rFonts w:asciiTheme="majorBidi" w:hAnsiTheme="majorBidi" w:cstheme="majorBidi"/>
          <w:sz w:val="24"/>
          <w:szCs w:val="24"/>
        </w:rPr>
        <w:t xml:space="preserve"> </w:t>
      </w:r>
      <w:r w:rsidRPr="00B53624">
        <w:rPr>
          <w:rFonts w:asciiTheme="majorBidi" w:hAnsiTheme="majorBidi" w:cstheme="majorBidi"/>
          <w:b/>
          <w:bCs/>
          <w:sz w:val="24"/>
          <w:szCs w:val="24"/>
        </w:rPr>
        <w:t>rectale</w:t>
      </w:r>
      <w:r w:rsidR="00B53624" w:rsidRPr="00B53624">
        <w:rPr>
          <w:rFonts w:asciiTheme="majorBidi" w:hAnsiTheme="majorBidi" w:cstheme="majorBidi"/>
          <w:b/>
          <w:bCs/>
          <w:sz w:val="24"/>
          <w:szCs w:val="24"/>
        </w:rPr>
        <w:t> </w:t>
      </w:r>
      <w:r w:rsidR="00B53624" w:rsidRPr="00B53624">
        <w:rPr>
          <w:rFonts w:asciiTheme="majorBidi" w:hAnsiTheme="majorBidi" w:cstheme="majorBidi"/>
          <w:sz w:val="24"/>
          <w:szCs w:val="24"/>
        </w:rPr>
        <w:t>:</w:t>
      </w:r>
      <w:r w:rsidRPr="00B53624">
        <w:rPr>
          <w:rFonts w:asciiTheme="majorBidi" w:hAnsiTheme="majorBidi" w:cstheme="majorBidi"/>
          <w:b/>
          <w:bCs/>
          <w:sz w:val="24"/>
          <w:szCs w:val="24"/>
        </w:rPr>
        <w:t xml:space="preserve"> </w:t>
      </w:r>
      <w:r w:rsidR="00B53624" w:rsidRPr="00B53624">
        <w:rPr>
          <w:rFonts w:asciiTheme="majorBidi" w:eastAsia="Times New Roman" w:hAnsiTheme="majorBidi" w:cstheme="majorBidi"/>
          <w:color w:val="000000"/>
          <w:sz w:val="24"/>
          <w:szCs w:val="24"/>
          <w:lang w:eastAsia="fr-FR"/>
        </w:rPr>
        <w:t xml:space="preserve">Permet </w:t>
      </w:r>
      <w:r w:rsidR="00B53624" w:rsidRPr="00B53624">
        <w:rPr>
          <w:rFonts w:asciiTheme="majorBidi" w:eastAsia="Times New Roman" w:hAnsiTheme="majorBidi" w:cstheme="majorBidi"/>
          <w:sz w:val="24"/>
          <w:szCs w:val="24"/>
          <w:lang w:eastAsia="fr-FR"/>
        </w:rPr>
        <w:t>soit effet local, soit passage dans la circulation et effet général.</w:t>
      </w:r>
    </w:p>
    <w:p w:rsidR="00B53624" w:rsidRPr="00B53624" w:rsidRDefault="008111B3" w:rsidP="00B53624">
      <w:pPr>
        <w:pStyle w:val="Paragraphedeliste"/>
        <w:numPr>
          <w:ilvl w:val="0"/>
          <w:numId w:val="4"/>
        </w:numPr>
        <w:autoSpaceDE w:val="0"/>
        <w:autoSpaceDN w:val="0"/>
        <w:adjustRightInd w:val="0"/>
        <w:spacing w:after="0" w:line="360" w:lineRule="auto"/>
        <w:jc w:val="both"/>
        <w:rPr>
          <w:rFonts w:asciiTheme="majorBidi" w:hAnsiTheme="majorBidi" w:cstheme="majorBidi"/>
          <w:b/>
          <w:bCs/>
          <w:sz w:val="24"/>
          <w:szCs w:val="24"/>
        </w:rPr>
      </w:pPr>
      <w:r w:rsidRPr="00B53624">
        <w:rPr>
          <w:rFonts w:asciiTheme="majorBidi" w:hAnsiTheme="majorBidi" w:cstheme="majorBidi"/>
          <w:b/>
          <w:bCs/>
          <w:sz w:val="24"/>
          <w:szCs w:val="24"/>
        </w:rPr>
        <w:t>voie</w:t>
      </w:r>
      <w:r w:rsidRPr="00B53624">
        <w:rPr>
          <w:rFonts w:asciiTheme="majorBidi" w:hAnsiTheme="majorBidi" w:cstheme="majorBidi"/>
          <w:sz w:val="24"/>
          <w:szCs w:val="24"/>
        </w:rPr>
        <w:t xml:space="preserve"> </w:t>
      </w:r>
      <w:r w:rsidRPr="00B53624">
        <w:rPr>
          <w:rFonts w:asciiTheme="majorBidi" w:hAnsiTheme="majorBidi" w:cstheme="majorBidi"/>
          <w:b/>
          <w:bCs/>
          <w:sz w:val="24"/>
          <w:szCs w:val="24"/>
        </w:rPr>
        <w:t xml:space="preserve">cutanée </w:t>
      </w:r>
      <w:r w:rsidRPr="00B53624">
        <w:rPr>
          <w:rFonts w:asciiTheme="majorBidi" w:hAnsiTheme="majorBidi" w:cstheme="majorBidi"/>
          <w:sz w:val="24"/>
          <w:szCs w:val="24"/>
        </w:rPr>
        <w:t xml:space="preserve">ou </w:t>
      </w:r>
      <w:proofErr w:type="spellStart"/>
      <w:r w:rsidRPr="00B53624">
        <w:rPr>
          <w:rFonts w:asciiTheme="majorBidi" w:hAnsiTheme="majorBidi" w:cstheme="majorBidi"/>
          <w:b/>
          <w:bCs/>
          <w:sz w:val="24"/>
          <w:szCs w:val="24"/>
        </w:rPr>
        <w:t>trans-dermique</w:t>
      </w:r>
      <w:proofErr w:type="spellEnd"/>
      <w:r w:rsidR="00B53624" w:rsidRPr="00B53624">
        <w:rPr>
          <w:rFonts w:asciiTheme="majorBidi" w:hAnsiTheme="majorBidi" w:cstheme="majorBidi"/>
          <w:b/>
          <w:bCs/>
          <w:sz w:val="24"/>
          <w:szCs w:val="24"/>
        </w:rPr>
        <w:t> </w:t>
      </w:r>
      <w:r w:rsidR="00B53624" w:rsidRPr="00B53624">
        <w:rPr>
          <w:rFonts w:asciiTheme="majorBidi" w:hAnsiTheme="majorBidi" w:cstheme="majorBidi"/>
          <w:sz w:val="24"/>
          <w:szCs w:val="24"/>
        </w:rPr>
        <w:t>: Il s’agit de l’application directe d’un médicament sur la peau par différents moyens.</w:t>
      </w:r>
      <w:r w:rsidR="00B53624">
        <w:rPr>
          <w:rFonts w:asciiTheme="majorBidi" w:hAnsiTheme="majorBidi" w:cstheme="majorBidi"/>
          <w:sz w:val="24"/>
          <w:szCs w:val="24"/>
        </w:rPr>
        <w:t xml:space="preserve"> </w:t>
      </w:r>
      <w:r w:rsidR="00B53624" w:rsidRPr="00B53624">
        <w:rPr>
          <w:rFonts w:asciiTheme="majorBidi" w:hAnsiTheme="majorBidi" w:cstheme="majorBidi"/>
          <w:sz w:val="24"/>
          <w:szCs w:val="24"/>
        </w:rPr>
        <w:t>L’action est locale si les composants ne peuvent pas pénétrer à travers la peau. Elle est générale si les composants peuvent traverser la barrière cutanée.</w:t>
      </w:r>
    </w:p>
    <w:p w:rsidR="00B53624" w:rsidRPr="00B53624" w:rsidRDefault="008111B3" w:rsidP="00B53624">
      <w:pPr>
        <w:pStyle w:val="Paragraphedeliste"/>
        <w:numPr>
          <w:ilvl w:val="0"/>
          <w:numId w:val="4"/>
        </w:numPr>
        <w:autoSpaceDE w:val="0"/>
        <w:autoSpaceDN w:val="0"/>
        <w:adjustRightInd w:val="0"/>
        <w:spacing w:after="0" w:line="360" w:lineRule="auto"/>
        <w:jc w:val="both"/>
        <w:rPr>
          <w:rFonts w:asciiTheme="majorBidi" w:hAnsiTheme="majorBidi" w:cstheme="majorBidi"/>
          <w:b/>
          <w:bCs/>
          <w:sz w:val="24"/>
          <w:szCs w:val="24"/>
        </w:rPr>
      </w:pPr>
      <w:r w:rsidRPr="00B53624">
        <w:rPr>
          <w:rFonts w:asciiTheme="majorBidi" w:hAnsiTheme="majorBidi" w:cstheme="majorBidi"/>
          <w:sz w:val="24"/>
          <w:szCs w:val="24"/>
        </w:rPr>
        <w:t xml:space="preserve">dans un </w:t>
      </w:r>
      <w:r w:rsidRPr="00B53624">
        <w:rPr>
          <w:rFonts w:asciiTheme="majorBidi" w:hAnsiTheme="majorBidi" w:cstheme="majorBidi"/>
          <w:b/>
          <w:bCs/>
          <w:sz w:val="24"/>
          <w:szCs w:val="24"/>
        </w:rPr>
        <w:t xml:space="preserve">organe </w:t>
      </w:r>
      <w:r w:rsidRPr="00B53624">
        <w:rPr>
          <w:rFonts w:asciiTheme="majorBidi" w:hAnsiTheme="majorBidi" w:cstheme="majorBidi"/>
          <w:sz w:val="24"/>
          <w:szCs w:val="24"/>
        </w:rPr>
        <w:t xml:space="preserve">ou </w:t>
      </w:r>
      <w:r w:rsidRPr="00B53624">
        <w:rPr>
          <w:rFonts w:asciiTheme="majorBidi" w:hAnsiTheme="majorBidi" w:cstheme="majorBidi"/>
          <w:b/>
          <w:bCs/>
          <w:sz w:val="24"/>
          <w:szCs w:val="24"/>
        </w:rPr>
        <w:t xml:space="preserve">in situ </w:t>
      </w:r>
      <w:r w:rsidRPr="00B53624">
        <w:rPr>
          <w:rFonts w:asciiTheme="majorBidi" w:hAnsiTheme="majorBidi" w:cstheme="majorBidi"/>
          <w:sz w:val="24"/>
          <w:szCs w:val="24"/>
        </w:rPr>
        <w:t xml:space="preserve">: </w:t>
      </w:r>
      <w:proofErr w:type="spellStart"/>
      <w:r w:rsidRPr="00B53624">
        <w:rPr>
          <w:rFonts w:asciiTheme="majorBidi" w:hAnsiTheme="majorBidi" w:cstheme="majorBidi"/>
          <w:sz w:val="24"/>
          <w:szCs w:val="24"/>
        </w:rPr>
        <w:t>intra-oculaire</w:t>
      </w:r>
      <w:proofErr w:type="spellEnd"/>
      <w:r w:rsidRPr="00B53624">
        <w:rPr>
          <w:rFonts w:asciiTheme="majorBidi" w:hAnsiTheme="majorBidi" w:cstheme="majorBidi"/>
          <w:sz w:val="24"/>
          <w:szCs w:val="24"/>
        </w:rPr>
        <w:t>, intra-tumoral…</w:t>
      </w:r>
    </w:p>
    <w:p w:rsidR="00BC01E8" w:rsidRPr="000F1C7E" w:rsidRDefault="008111B3" w:rsidP="000F1C7E">
      <w:pPr>
        <w:pStyle w:val="Paragraphedeliste"/>
        <w:numPr>
          <w:ilvl w:val="0"/>
          <w:numId w:val="4"/>
        </w:numPr>
        <w:autoSpaceDE w:val="0"/>
        <w:autoSpaceDN w:val="0"/>
        <w:adjustRightInd w:val="0"/>
        <w:spacing w:after="0" w:line="360" w:lineRule="auto"/>
        <w:jc w:val="both"/>
        <w:rPr>
          <w:rFonts w:asciiTheme="majorBidi" w:hAnsiTheme="majorBidi" w:cstheme="majorBidi"/>
          <w:b/>
          <w:bCs/>
          <w:sz w:val="24"/>
          <w:szCs w:val="24"/>
          <w:rtl/>
        </w:rPr>
      </w:pPr>
      <w:r w:rsidRPr="00B53624">
        <w:rPr>
          <w:rFonts w:asciiTheme="majorBidi" w:hAnsiTheme="majorBidi" w:cstheme="majorBidi"/>
          <w:b/>
          <w:bCs/>
          <w:sz w:val="24"/>
          <w:szCs w:val="24"/>
        </w:rPr>
        <w:t>voie</w:t>
      </w:r>
      <w:r w:rsidRPr="00B53624">
        <w:rPr>
          <w:rFonts w:asciiTheme="majorBidi" w:hAnsiTheme="majorBidi" w:cstheme="majorBidi"/>
          <w:sz w:val="24"/>
          <w:szCs w:val="24"/>
        </w:rPr>
        <w:t xml:space="preserve"> </w:t>
      </w:r>
      <w:r w:rsidR="001418CF" w:rsidRPr="00B53624">
        <w:rPr>
          <w:rFonts w:asciiTheme="majorBidi" w:hAnsiTheme="majorBidi" w:cstheme="majorBidi"/>
          <w:b/>
          <w:bCs/>
          <w:sz w:val="24"/>
          <w:szCs w:val="24"/>
        </w:rPr>
        <w:t>nasale</w:t>
      </w:r>
      <w:r w:rsidRPr="00B53624">
        <w:rPr>
          <w:rFonts w:asciiTheme="majorBidi" w:hAnsiTheme="majorBidi" w:cstheme="majorBidi"/>
          <w:sz w:val="24"/>
          <w:szCs w:val="24"/>
        </w:rPr>
        <w:t xml:space="preserve"> ou </w:t>
      </w:r>
      <w:r w:rsidR="001418CF" w:rsidRPr="00B53624">
        <w:rPr>
          <w:rFonts w:asciiTheme="majorBidi" w:hAnsiTheme="majorBidi" w:cstheme="majorBidi"/>
          <w:b/>
          <w:bCs/>
          <w:sz w:val="24"/>
          <w:szCs w:val="24"/>
        </w:rPr>
        <w:t>oculaire.</w:t>
      </w:r>
      <w:r w:rsidR="00BC01E8" w:rsidRPr="00BC01E8">
        <w:t xml:space="preserve"> </w:t>
      </w:r>
    </w:p>
    <w:p w:rsidR="002A6AAE" w:rsidRPr="00156343" w:rsidRDefault="00462BFB" w:rsidP="00156343">
      <w:pPr>
        <w:pStyle w:val="Paragraphedeliste"/>
        <w:numPr>
          <w:ilvl w:val="1"/>
          <w:numId w:val="1"/>
        </w:numPr>
        <w:autoSpaceDE w:val="0"/>
        <w:autoSpaceDN w:val="0"/>
        <w:adjustRightInd w:val="0"/>
        <w:spacing w:after="0" w:line="360" w:lineRule="auto"/>
        <w:rPr>
          <w:rFonts w:asciiTheme="majorBidi" w:hAnsiTheme="majorBidi" w:cstheme="majorBidi"/>
          <w:b/>
          <w:bCs/>
          <w:sz w:val="24"/>
          <w:szCs w:val="24"/>
        </w:rPr>
      </w:pPr>
      <w:r>
        <w:rPr>
          <w:rFonts w:asciiTheme="majorBidi" w:hAnsiTheme="majorBidi" w:cstheme="majorBidi"/>
          <w:b/>
          <w:bCs/>
          <w:sz w:val="24"/>
          <w:szCs w:val="24"/>
        </w:rPr>
        <w:t xml:space="preserve"> </w:t>
      </w:r>
      <w:r w:rsidR="002A6AAE" w:rsidRPr="00156343">
        <w:rPr>
          <w:rFonts w:asciiTheme="majorBidi" w:hAnsiTheme="majorBidi" w:cstheme="majorBidi"/>
          <w:b/>
          <w:bCs/>
          <w:sz w:val="24"/>
          <w:szCs w:val="24"/>
        </w:rPr>
        <w:t>Modalités d’absorption</w:t>
      </w:r>
    </w:p>
    <w:p w:rsidR="002A6AAE" w:rsidRPr="00156343" w:rsidRDefault="002A6AAE" w:rsidP="00462BFB">
      <w:pPr>
        <w:autoSpaceDE w:val="0"/>
        <w:autoSpaceDN w:val="0"/>
        <w:adjustRightInd w:val="0"/>
        <w:spacing w:after="0" w:line="360" w:lineRule="auto"/>
        <w:ind w:firstLine="567"/>
        <w:jc w:val="both"/>
        <w:rPr>
          <w:rFonts w:asciiTheme="majorBidi" w:hAnsiTheme="majorBidi" w:cstheme="majorBidi"/>
          <w:sz w:val="24"/>
          <w:szCs w:val="24"/>
        </w:rPr>
      </w:pPr>
      <w:r w:rsidRPr="00156343">
        <w:rPr>
          <w:rFonts w:asciiTheme="majorBidi" w:hAnsiTheme="majorBidi" w:cstheme="majorBidi"/>
          <w:sz w:val="24"/>
          <w:szCs w:val="24"/>
        </w:rPr>
        <w:t>Le médicament doit passer une barrière qui le sépare de la circulation générale. Parmi les différents mécanismes, 2 sont importants :</w:t>
      </w:r>
    </w:p>
    <w:p w:rsidR="00881BF2" w:rsidRPr="006B1614" w:rsidRDefault="002A6AAE" w:rsidP="001418CF">
      <w:pPr>
        <w:autoSpaceDE w:val="0"/>
        <w:autoSpaceDN w:val="0"/>
        <w:adjustRightInd w:val="0"/>
        <w:spacing w:after="0" w:line="360" w:lineRule="auto"/>
        <w:jc w:val="both"/>
        <w:rPr>
          <w:rFonts w:asciiTheme="majorBidi" w:hAnsiTheme="majorBidi" w:cstheme="majorBidi"/>
          <w:sz w:val="24"/>
          <w:szCs w:val="24"/>
        </w:rPr>
      </w:pPr>
      <w:r w:rsidRPr="00156343">
        <w:rPr>
          <w:rFonts w:asciiTheme="majorBidi" w:hAnsiTheme="majorBidi" w:cstheme="majorBidi"/>
          <w:sz w:val="24"/>
          <w:szCs w:val="24"/>
        </w:rPr>
        <w:t xml:space="preserve">• </w:t>
      </w:r>
      <w:r w:rsidRPr="00156343">
        <w:rPr>
          <w:rFonts w:asciiTheme="majorBidi" w:hAnsiTheme="majorBidi" w:cstheme="majorBidi"/>
          <w:b/>
          <w:bCs/>
          <w:sz w:val="24"/>
          <w:szCs w:val="24"/>
        </w:rPr>
        <w:t>Diffusion passive :</w:t>
      </w:r>
      <w:r w:rsidRPr="00156343">
        <w:rPr>
          <w:rFonts w:asciiTheme="majorBidi" w:hAnsiTheme="majorBidi" w:cstheme="majorBidi"/>
          <w:sz w:val="24"/>
          <w:szCs w:val="24"/>
        </w:rPr>
        <w:t xml:space="preserve"> </w:t>
      </w:r>
      <w:r w:rsidR="00881BF2" w:rsidRPr="006B1614">
        <w:rPr>
          <w:rFonts w:asciiTheme="majorBidi" w:hAnsiTheme="majorBidi" w:cstheme="majorBidi"/>
          <w:sz w:val="24"/>
          <w:szCs w:val="24"/>
        </w:rPr>
        <w:t>La diffusion passive se fait en suivant le gradient de concentration et jamais contre un gradient de concentration. C’est à dire que le médicament va du milieu le plus concentré vers le milieu le moins concentré</w:t>
      </w:r>
      <w:r w:rsidR="00BC01E8" w:rsidRPr="006B1614">
        <w:rPr>
          <w:rFonts w:asciiTheme="majorBidi" w:hAnsiTheme="majorBidi" w:cstheme="majorBidi"/>
          <w:sz w:val="24"/>
          <w:szCs w:val="24"/>
        </w:rPr>
        <w:t xml:space="preserve"> (pas de consommation d’énergie/non spécifique/ pas de compétition/ pas de saturation)</w:t>
      </w:r>
      <w:r w:rsidR="00881BF2" w:rsidRPr="006B1614">
        <w:rPr>
          <w:rFonts w:asciiTheme="majorBidi" w:hAnsiTheme="majorBidi" w:cstheme="majorBidi"/>
          <w:sz w:val="24"/>
          <w:szCs w:val="24"/>
        </w:rPr>
        <w:t>.</w:t>
      </w:r>
      <w:r w:rsidR="00BC01E8" w:rsidRPr="006B1614">
        <w:rPr>
          <w:rFonts w:asciiTheme="majorBidi" w:hAnsiTheme="majorBidi" w:cstheme="majorBidi"/>
          <w:sz w:val="24"/>
          <w:szCs w:val="24"/>
        </w:rPr>
        <w:t xml:space="preserve"> </w:t>
      </w:r>
    </w:p>
    <w:p w:rsidR="001418CF" w:rsidRPr="00156343" w:rsidRDefault="002A6AAE" w:rsidP="001418CF">
      <w:pPr>
        <w:autoSpaceDE w:val="0"/>
        <w:autoSpaceDN w:val="0"/>
        <w:adjustRightInd w:val="0"/>
        <w:spacing w:after="0" w:line="360" w:lineRule="auto"/>
        <w:jc w:val="both"/>
        <w:rPr>
          <w:rFonts w:asciiTheme="majorBidi" w:hAnsiTheme="majorBidi" w:cstheme="majorBidi"/>
          <w:sz w:val="24"/>
          <w:szCs w:val="24"/>
        </w:rPr>
      </w:pPr>
      <w:r w:rsidRPr="006B1614">
        <w:rPr>
          <w:rFonts w:asciiTheme="majorBidi" w:hAnsiTheme="majorBidi" w:cstheme="majorBidi"/>
          <w:sz w:val="24"/>
          <w:szCs w:val="24"/>
        </w:rPr>
        <w:t xml:space="preserve">• </w:t>
      </w:r>
      <w:r w:rsidRPr="006B1614">
        <w:rPr>
          <w:rFonts w:asciiTheme="majorBidi" w:hAnsiTheme="majorBidi" w:cstheme="majorBidi"/>
          <w:b/>
          <w:bCs/>
          <w:sz w:val="24"/>
          <w:szCs w:val="24"/>
        </w:rPr>
        <w:t>Transport actif :</w:t>
      </w:r>
      <w:r w:rsidRPr="006B1614">
        <w:rPr>
          <w:rFonts w:asciiTheme="majorBidi" w:hAnsiTheme="majorBidi" w:cstheme="majorBidi"/>
          <w:sz w:val="24"/>
          <w:szCs w:val="24"/>
        </w:rPr>
        <w:t xml:space="preserve"> </w:t>
      </w:r>
      <w:r w:rsidR="001418CF" w:rsidRPr="006B1614">
        <w:rPr>
          <w:rFonts w:asciiTheme="majorBidi" w:hAnsiTheme="majorBidi" w:cstheme="majorBidi"/>
          <w:sz w:val="24"/>
          <w:szCs w:val="24"/>
        </w:rPr>
        <w:t>Le passage d’une substance à travers une membrane contre un gradient de concentration. Ce système de transport est capable de former un complexe avec la molécule à transporter, la formation de ce complexe se fait sur l’une des faces de la membrane</w:t>
      </w:r>
      <w:r w:rsidR="001418CF" w:rsidRPr="00156343">
        <w:rPr>
          <w:rFonts w:asciiTheme="majorBidi" w:hAnsiTheme="majorBidi" w:cstheme="majorBidi"/>
          <w:sz w:val="24"/>
          <w:szCs w:val="24"/>
        </w:rPr>
        <w:t xml:space="preserve"> et sa dissociation sur l’autre, libérant ainsi la molécule transportée.</w:t>
      </w:r>
    </w:p>
    <w:p w:rsidR="002A6AAE" w:rsidRPr="00156343" w:rsidRDefault="001418CF" w:rsidP="001418CF">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proofErr w:type="gramStart"/>
      <w:r w:rsidR="002A6AAE" w:rsidRPr="00156343">
        <w:rPr>
          <w:rFonts w:asciiTheme="majorBidi" w:hAnsiTheme="majorBidi" w:cstheme="majorBidi"/>
          <w:sz w:val="24"/>
          <w:szCs w:val="24"/>
        </w:rPr>
        <w:t>contre</w:t>
      </w:r>
      <w:proofErr w:type="gramEnd"/>
      <w:r w:rsidR="002A6AAE" w:rsidRPr="00156343">
        <w:rPr>
          <w:rFonts w:asciiTheme="majorBidi" w:hAnsiTheme="majorBidi" w:cstheme="majorBidi"/>
          <w:sz w:val="24"/>
          <w:szCs w:val="24"/>
        </w:rPr>
        <w:t xml:space="preserve"> un gradient/ saturable/ spécifique</w:t>
      </w:r>
      <w:r w:rsidR="00400483">
        <w:rPr>
          <w:rFonts w:asciiTheme="majorBidi" w:hAnsiTheme="majorBidi" w:cstheme="majorBidi"/>
          <w:sz w:val="24"/>
          <w:szCs w:val="24"/>
        </w:rPr>
        <w:t xml:space="preserve"> d’un type de substance</w:t>
      </w:r>
      <w:r w:rsidR="0043626D">
        <w:rPr>
          <w:rFonts w:asciiTheme="majorBidi" w:hAnsiTheme="majorBidi" w:cstheme="majorBidi"/>
          <w:sz w:val="24"/>
          <w:szCs w:val="24"/>
        </w:rPr>
        <w:t>/</w:t>
      </w:r>
      <w:r w:rsidR="00400483">
        <w:rPr>
          <w:rFonts w:asciiTheme="majorBidi" w:hAnsiTheme="majorBidi" w:cstheme="majorBidi"/>
          <w:sz w:val="24"/>
          <w:szCs w:val="24"/>
        </w:rPr>
        <w:t xml:space="preserve"> </w:t>
      </w:r>
      <w:r w:rsidR="00060205">
        <w:rPr>
          <w:rFonts w:asciiTheme="majorBidi" w:hAnsiTheme="majorBidi" w:cstheme="majorBidi"/>
          <w:sz w:val="24"/>
          <w:szCs w:val="24"/>
        </w:rPr>
        <w:t>compétition/ nécessite de l’énergie</w:t>
      </w:r>
      <w:r>
        <w:rPr>
          <w:rFonts w:asciiTheme="majorBidi" w:hAnsiTheme="majorBidi" w:cstheme="majorBidi"/>
          <w:sz w:val="24"/>
          <w:szCs w:val="24"/>
        </w:rPr>
        <w:t>)</w:t>
      </w:r>
    </w:p>
    <w:p w:rsidR="00770BD9" w:rsidRDefault="00770BD9" w:rsidP="0043626D">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noProof/>
          <w:lang w:eastAsia="fr-FR"/>
        </w:rPr>
        <w:drawing>
          <wp:inline distT="0" distB="0" distL="0" distR="0" wp14:anchorId="308641F8" wp14:editId="299DA13C">
            <wp:extent cx="4146550" cy="2637155"/>
            <wp:effectExtent l="0" t="0" r="635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6550" cy="2637155"/>
                    </a:xfrm>
                    <a:prstGeom prst="rect">
                      <a:avLst/>
                    </a:prstGeom>
                    <a:noFill/>
                    <a:ln>
                      <a:noFill/>
                    </a:ln>
                  </pic:spPr>
                </pic:pic>
              </a:graphicData>
            </a:graphic>
          </wp:inline>
        </w:drawing>
      </w:r>
    </w:p>
    <w:p w:rsidR="003E0F03" w:rsidRPr="0043626D" w:rsidRDefault="003E0F03" w:rsidP="002861DE">
      <w:pPr>
        <w:autoSpaceDE w:val="0"/>
        <w:autoSpaceDN w:val="0"/>
        <w:adjustRightInd w:val="0"/>
        <w:spacing w:after="0" w:line="240" w:lineRule="auto"/>
        <w:rPr>
          <w:rFonts w:ascii="TimesNewRoman,Bold" w:hAnsi="TimesNewRoman,Bold" w:cs="TimesNewRoman,Bold"/>
          <w:b/>
          <w:bCs/>
          <w:i/>
          <w:iCs/>
          <w:sz w:val="24"/>
          <w:szCs w:val="24"/>
        </w:rPr>
      </w:pPr>
      <w:r w:rsidRPr="0043626D">
        <w:rPr>
          <w:rFonts w:ascii="TimesNewRoman,Bold" w:hAnsi="TimesNewRoman,Bold" w:cs="TimesNewRoman,Bold"/>
          <w:b/>
          <w:bCs/>
          <w:i/>
          <w:iCs/>
          <w:sz w:val="24"/>
          <w:szCs w:val="24"/>
        </w:rPr>
        <w:t>Concentration de médicament dans milieu 2 &gt; concentration de médicament dans milieu 1</w:t>
      </w:r>
    </w:p>
    <w:p w:rsidR="003E0F03" w:rsidRPr="002861DE" w:rsidRDefault="003E0F03" w:rsidP="002861DE">
      <w:pPr>
        <w:autoSpaceDE w:val="0"/>
        <w:autoSpaceDN w:val="0"/>
        <w:adjustRightInd w:val="0"/>
        <w:spacing w:after="0" w:line="240" w:lineRule="auto"/>
        <w:rPr>
          <w:rFonts w:ascii="Times New Roman" w:hAnsi="Times New Roman" w:cs="Times New Roman"/>
        </w:rPr>
      </w:pPr>
    </w:p>
    <w:p w:rsidR="007805F5" w:rsidRPr="000025E7" w:rsidRDefault="006941AE" w:rsidP="000025E7">
      <w:pPr>
        <w:autoSpaceDE w:val="0"/>
        <w:autoSpaceDN w:val="0"/>
        <w:adjustRightInd w:val="0"/>
        <w:spacing w:after="0" w:line="360" w:lineRule="auto"/>
        <w:jc w:val="both"/>
        <w:rPr>
          <w:rFonts w:asciiTheme="majorBidi" w:hAnsiTheme="majorBidi" w:cstheme="majorBidi"/>
          <w:sz w:val="24"/>
          <w:szCs w:val="24"/>
        </w:rPr>
      </w:pPr>
      <w:r w:rsidRPr="00156343">
        <w:rPr>
          <w:rFonts w:asciiTheme="majorBidi" w:hAnsiTheme="majorBidi" w:cstheme="majorBidi"/>
          <w:sz w:val="24"/>
          <w:szCs w:val="24"/>
        </w:rPr>
        <w:t xml:space="preserve">• </w:t>
      </w:r>
      <w:r w:rsidR="00D053F5" w:rsidRPr="006941AE">
        <w:rPr>
          <w:rFonts w:asciiTheme="majorBidi" w:hAnsiTheme="majorBidi" w:cstheme="majorBidi"/>
          <w:sz w:val="24"/>
          <w:szCs w:val="24"/>
        </w:rPr>
        <w:t>Il</w:t>
      </w:r>
      <w:r w:rsidR="00770BD9" w:rsidRPr="006941AE">
        <w:rPr>
          <w:rFonts w:asciiTheme="majorBidi" w:hAnsiTheme="majorBidi" w:cstheme="majorBidi"/>
          <w:sz w:val="24"/>
          <w:szCs w:val="24"/>
        </w:rPr>
        <w:t xml:space="preserve"> y’a aussi la </w:t>
      </w:r>
      <w:r w:rsidR="007805F5" w:rsidRPr="006941AE">
        <w:rPr>
          <w:rFonts w:asciiTheme="majorBidi" w:hAnsiTheme="majorBidi" w:cstheme="majorBidi"/>
          <w:b/>
          <w:bCs/>
          <w:sz w:val="24"/>
          <w:szCs w:val="24"/>
        </w:rPr>
        <w:t xml:space="preserve">Diffusion facilitée : </w:t>
      </w:r>
      <w:r w:rsidR="007805F5" w:rsidRPr="006941AE">
        <w:rPr>
          <w:rFonts w:asciiTheme="majorBidi" w:hAnsiTheme="majorBidi" w:cstheme="majorBidi"/>
          <w:sz w:val="24"/>
          <w:szCs w:val="24"/>
        </w:rPr>
        <w:t>La diffusion facilitée se distingue de la diffusion passive par une vitesse supérieure. Les mouvements du médicament à travers la membrane</w:t>
      </w:r>
      <w:r w:rsidR="007805F5" w:rsidRPr="006941AE">
        <w:rPr>
          <w:rFonts w:asciiTheme="majorBidi" w:hAnsiTheme="majorBidi" w:cstheme="majorBidi"/>
          <w:b/>
          <w:bCs/>
          <w:sz w:val="24"/>
          <w:szCs w:val="24"/>
        </w:rPr>
        <w:t xml:space="preserve"> </w:t>
      </w:r>
      <w:r w:rsidR="007805F5" w:rsidRPr="006941AE">
        <w:rPr>
          <w:rFonts w:asciiTheme="majorBidi" w:hAnsiTheme="majorBidi" w:cstheme="majorBidi"/>
          <w:sz w:val="24"/>
          <w:szCs w:val="24"/>
        </w:rPr>
        <w:t>par diffusion facilitée se font dans le sens du gradient et sont facilités par un transporteur soumis au</w:t>
      </w:r>
      <w:r w:rsidR="007805F5" w:rsidRPr="006941AE">
        <w:rPr>
          <w:rFonts w:asciiTheme="majorBidi" w:hAnsiTheme="majorBidi" w:cstheme="majorBidi"/>
          <w:b/>
          <w:bCs/>
          <w:sz w:val="24"/>
          <w:szCs w:val="24"/>
        </w:rPr>
        <w:t xml:space="preserve"> </w:t>
      </w:r>
      <w:r w:rsidR="007805F5" w:rsidRPr="006941AE">
        <w:rPr>
          <w:rFonts w:asciiTheme="majorBidi" w:hAnsiTheme="majorBidi" w:cstheme="majorBidi"/>
          <w:sz w:val="24"/>
          <w:szCs w:val="24"/>
        </w:rPr>
        <w:t>phénomène de sa</w:t>
      </w:r>
      <w:r w:rsidR="002A423F" w:rsidRPr="006941AE">
        <w:rPr>
          <w:rFonts w:asciiTheme="majorBidi" w:hAnsiTheme="majorBidi" w:cstheme="majorBidi"/>
          <w:sz w:val="24"/>
          <w:szCs w:val="24"/>
        </w:rPr>
        <w:t>turation, compétition</w:t>
      </w:r>
      <w:r w:rsidR="007805F5" w:rsidRPr="006941AE">
        <w:rPr>
          <w:rFonts w:asciiTheme="majorBidi" w:hAnsiTheme="majorBidi" w:cstheme="majorBidi"/>
          <w:sz w:val="24"/>
          <w:szCs w:val="24"/>
        </w:rPr>
        <w:t>.</w:t>
      </w:r>
    </w:p>
    <w:p w:rsidR="002A6AAE" w:rsidRPr="00EC7F30" w:rsidRDefault="000025E7" w:rsidP="00EC7F30">
      <w:pPr>
        <w:pStyle w:val="Paragraphedeliste"/>
        <w:numPr>
          <w:ilvl w:val="1"/>
          <w:numId w:val="1"/>
        </w:num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 </w:t>
      </w:r>
      <w:r w:rsidR="002A6AAE" w:rsidRPr="00EC7F30">
        <w:rPr>
          <w:rFonts w:asciiTheme="majorBidi" w:hAnsiTheme="majorBidi" w:cstheme="majorBidi"/>
          <w:b/>
          <w:bCs/>
          <w:sz w:val="24"/>
          <w:szCs w:val="24"/>
        </w:rPr>
        <w:t>Evaluation de l’absorption : la biodisponibilité</w:t>
      </w:r>
    </w:p>
    <w:p w:rsidR="002A6AAE" w:rsidRDefault="002A6AAE" w:rsidP="000025E7">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La </w:t>
      </w:r>
      <w:r>
        <w:rPr>
          <w:rFonts w:ascii="Times New Roman" w:hAnsi="Times New Roman" w:cs="Times New Roman"/>
          <w:b/>
          <w:bCs/>
          <w:sz w:val="24"/>
          <w:szCs w:val="24"/>
        </w:rPr>
        <w:t xml:space="preserve">biodisponibilité </w:t>
      </w:r>
      <w:r>
        <w:rPr>
          <w:rFonts w:ascii="Times New Roman" w:hAnsi="Times New Roman" w:cs="Times New Roman"/>
          <w:sz w:val="24"/>
          <w:szCs w:val="24"/>
        </w:rPr>
        <w:t xml:space="preserve">se définit comme étant la </w:t>
      </w:r>
      <w:r>
        <w:rPr>
          <w:rFonts w:ascii="Times New Roman" w:hAnsi="Times New Roman" w:cs="Times New Roman"/>
          <w:b/>
          <w:bCs/>
          <w:sz w:val="24"/>
          <w:szCs w:val="24"/>
        </w:rPr>
        <w:t xml:space="preserve">fraction </w:t>
      </w:r>
      <w:r>
        <w:rPr>
          <w:rFonts w:ascii="Times New Roman" w:hAnsi="Times New Roman" w:cs="Times New Roman"/>
          <w:sz w:val="24"/>
          <w:szCs w:val="24"/>
        </w:rPr>
        <w:t>de la do</w:t>
      </w:r>
      <w:r w:rsidR="00237629">
        <w:rPr>
          <w:rFonts w:ascii="Times New Roman" w:hAnsi="Times New Roman" w:cs="Times New Roman"/>
          <w:sz w:val="24"/>
          <w:szCs w:val="24"/>
        </w:rPr>
        <w:t xml:space="preserve">se de médicament administré qui </w:t>
      </w:r>
      <w:r>
        <w:rPr>
          <w:rFonts w:ascii="Times New Roman" w:hAnsi="Times New Roman" w:cs="Times New Roman"/>
          <w:sz w:val="24"/>
          <w:szCs w:val="24"/>
        </w:rPr>
        <w:t>atteint la circulation générale.</w:t>
      </w:r>
    </w:p>
    <w:p w:rsidR="00237629" w:rsidRDefault="00237629" w:rsidP="008F7D8D">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La quantité de médicament qui atteint la circ</w:t>
      </w:r>
      <w:r w:rsidR="006B7ABA">
        <w:rPr>
          <w:rFonts w:ascii="Times New Roman" w:hAnsi="Times New Roman" w:cs="Times New Roman"/>
          <w:sz w:val="24"/>
          <w:szCs w:val="24"/>
        </w:rPr>
        <w:t>ulation générale</w:t>
      </w:r>
      <w:r>
        <w:rPr>
          <w:rFonts w:ascii="Times New Roman" w:hAnsi="Times New Roman" w:cs="Times New Roman"/>
          <w:sz w:val="24"/>
          <w:szCs w:val="24"/>
        </w:rPr>
        <w:t xml:space="preserve"> est fonction de la quantité abs</w:t>
      </w:r>
      <w:r w:rsidR="00A67DA0">
        <w:rPr>
          <w:rFonts w:ascii="Times New Roman" w:hAnsi="Times New Roman" w:cs="Times New Roman"/>
          <w:sz w:val="24"/>
          <w:szCs w:val="24"/>
        </w:rPr>
        <w:t>orbée par l’épithélium digestif</w:t>
      </w:r>
      <w:r w:rsidR="001E4FB2">
        <w:rPr>
          <w:rFonts w:ascii="Times New Roman" w:hAnsi="Times New Roman" w:cs="Times New Roman"/>
          <w:sz w:val="24"/>
          <w:szCs w:val="24"/>
        </w:rPr>
        <w:t xml:space="preserve"> </w:t>
      </w:r>
      <w:r>
        <w:rPr>
          <w:rFonts w:ascii="Times New Roman" w:hAnsi="Times New Roman" w:cs="Times New Roman"/>
          <w:sz w:val="24"/>
          <w:szCs w:val="24"/>
        </w:rPr>
        <w:t>(et donc de la dose administrée) mais également, d’autres processus d’élimination pré-systémique :</w:t>
      </w:r>
    </w:p>
    <w:p w:rsidR="00237629" w:rsidRPr="008F7D8D" w:rsidRDefault="00237629" w:rsidP="00EC7F3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F7D8D">
        <w:rPr>
          <w:rFonts w:ascii="Times New Roman" w:hAnsi="Times New Roman" w:cs="Times New Roman"/>
          <w:b/>
          <w:bCs/>
          <w:sz w:val="24"/>
          <w:szCs w:val="24"/>
        </w:rPr>
        <w:t>dégradat</w:t>
      </w:r>
      <w:r w:rsidR="008F7D8D">
        <w:rPr>
          <w:rFonts w:ascii="Times New Roman" w:hAnsi="Times New Roman" w:cs="Times New Roman"/>
          <w:b/>
          <w:bCs/>
          <w:sz w:val="24"/>
          <w:szCs w:val="24"/>
        </w:rPr>
        <w:t>ion dans la lumière intestinale</w:t>
      </w:r>
      <w:r w:rsidR="008F7D8D">
        <w:rPr>
          <w:rFonts w:ascii="Times New Roman" w:hAnsi="Times New Roman" w:cs="Times New Roman"/>
          <w:sz w:val="24"/>
          <w:szCs w:val="24"/>
        </w:rPr>
        <w:t>,</w:t>
      </w:r>
    </w:p>
    <w:p w:rsidR="00237629" w:rsidRDefault="00237629" w:rsidP="006B7AB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F7D8D">
        <w:rPr>
          <w:rFonts w:ascii="Times New Roman" w:hAnsi="Times New Roman" w:cs="Times New Roman"/>
          <w:b/>
          <w:bCs/>
          <w:sz w:val="24"/>
          <w:szCs w:val="24"/>
        </w:rPr>
        <w:t>métabolisme au niveau des entérocytes</w:t>
      </w:r>
      <w:r>
        <w:rPr>
          <w:rFonts w:ascii="Times New Roman" w:hAnsi="Times New Roman" w:cs="Times New Roman"/>
          <w:sz w:val="24"/>
          <w:szCs w:val="24"/>
        </w:rPr>
        <w:t xml:space="preserve"> (</w:t>
      </w:r>
      <w:r w:rsidR="006B7ABA" w:rsidRPr="006B7ABA">
        <w:rPr>
          <w:rFonts w:ascii="Times New Roman" w:hAnsi="Times New Roman" w:cs="Times New Roman"/>
          <w:sz w:val="24"/>
          <w:szCs w:val="24"/>
        </w:rPr>
        <w:t>un des principaux types de cellules de l'épithélium intestinal</w:t>
      </w:r>
      <w:r>
        <w:rPr>
          <w:rFonts w:ascii="Times New Roman" w:hAnsi="Times New Roman" w:cs="Times New Roman"/>
          <w:sz w:val="24"/>
          <w:szCs w:val="24"/>
        </w:rPr>
        <w:t>),</w:t>
      </w:r>
    </w:p>
    <w:p w:rsidR="00E129D2" w:rsidRPr="00EC7F30" w:rsidRDefault="00237629" w:rsidP="006B7ABA">
      <w:pPr>
        <w:autoSpaceDE w:val="0"/>
        <w:autoSpaceDN w:val="0"/>
        <w:adjustRightInd w:val="0"/>
        <w:spacing w:after="0" w:line="360" w:lineRule="auto"/>
        <w:jc w:val="both"/>
        <w:rPr>
          <w:rFonts w:ascii="Times New Roman" w:hAnsi="Times New Roman" w:cs="Times New Roman"/>
          <w:sz w:val="24"/>
          <w:szCs w:val="24"/>
        </w:rPr>
      </w:pPr>
      <w:r w:rsidRPr="00EC7F30">
        <w:rPr>
          <w:rFonts w:ascii="Times New Roman" w:hAnsi="Times New Roman" w:cs="Times New Roman"/>
          <w:sz w:val="24"/>
          <w:szCs w:val="24"/>
        </w:rPr>
        <w:t xml:space="preserve">— </w:t>
      </w:r>
      <w:r w:rsidRPr="008F7D8D">
        <w:rPr>
          <w:rFonts w:ascii="Times New Roman" w:hAnsi="Times New Roman" w:cs="Times New Roman"/>
          <w:b/>
          <w:bCs/>
          <w:sz w:val="24"/>
          <w:szCs w:val="24"/>
        </w:rPr>
        <w:t>captage hépatique important au premier passage</w:t>
      </w:r>
      <w:r w:rsidR="008F7D8D">
        <w:rPr>
          <w:rFonts w:ascii="Times New Roman" w:hAnsi="Times New Roman" w:cs="Times New Roman"/>
          <w:b/>
          <w:bCs/>
          <w:sz w:val="24"/>
          <w:szCs w:val="24"/>
        </w:rPr>
        <w:t> :</w:t>
      </w:r>
      <w:r w:rsidRPr="00EC7F30">
        <w:rPr>
          <w:rFonts w:ascii="Times New Roman" w:hAnsi="Times New Roman" w:cs="Times New Roman"/>
          <w:sz w:val="24"/>
          <w:szCs w:val="24"/>
        </w:rPr>
        <w:t xml:space="preserve"> Lorsque le médicament </w:t>
      </w:r>
      <w:proofErr w:type="gramStart"/>
      <w:r w:rsidR="00B27F0C">
        <w:rPr>
          <w:rFonts w:ascii="Times New Roman" w:hAnsi="Times New Roman" w:cs="Times New Roman"/>
          <w:sz w:val="24"/>
          <w:szCs w:val="24"/>
        </w:rPr>
        <w:t>a</w:t>
      </w:r>
      <w:proofErr w:type="gramEnd"/>
      <w:r w:rsidRPr="00EC7F30">
        <w:rPr>
          <w:rFonts w:ascii="Times New Roman" w:hAnsi="Times New Roman" w:cs="Times New Roman"/>
          <w:sz w:val="24"/>
          <w:szCs w:val="24"/>
        </w:rPr>
        <w:t xml:space="preserve"> une forte affinité pour l’hépatocyte et les enzymes hépatiques, une fraction de la dose absorbée est captée lors du premier passage, c’est à dire avant même d’atteindre la circulation générale. La quantité de médicament retrouvée dans la circulation systémique est alors diminuée. C’est l’effet de premier passage hépatique.</w:t>
      </w:r>
    </w:p>
    <w:p w:rsidR="00DB3A77" w:rsidRDefault="00DB3A77" w:rsidP="0023762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lastRenderedPageBreak/>
        <w:drawing>
          <wp:inline distT="0" distB="0" distL="0" distR="0">
            <wp:extent cx="5752214" cy="4231759"/>
            <wp:effectExtent l="0" t="0" r="127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238017"/>
                    </a:xfrm>
                    <a:prstGeom prst="rect">
                      <a:avLst/>
                    </a:prstGeom>
                    <a:noFill/>
                    <a:ln>
                      <a:noFill/>
                    </a:ln>
                  </pic:spPr>
                </pic:pic>
              </a:graphicData>
            </a:graphic>
          </wp:inline>
        </w:drawing>
      </w:r>
    </w:p>
    <w:p w:rsidR="00555326" w:rsidRDefault="00EC7F30" w:rsidP="00EC7F3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N.B</w:t>
      </w:r>
      <w:r w:rsidR="00555326" w:rsidRPr="00EC7F30">
        <w:rPr>
          <w:rFonts w:ascii="Times New Roman" w:hAnsi="Times New Roman" w:cs="Times New Roman"/>
          <w:b/>
          <w:bCs/>
          <w:sz w:val="24"/>
          <w:szCs w:val="24"/>
        </w:rPr>
        <w:t xml:space="preserve"> :</w:t>
      </w:r>
      <w:r w:rsidR="00555326" w:rsidRPr="00EC7F30">
        <w:rPr>
          <w:rFonts w:ascii="Times New Roman" w:hAnsi="Times New Roman" w:cs="Times New Roman"/>
          <w:sz w:val="24"/>
          <w:szCs w:val="24"/>
        </w:rPr>
        <w:t xml:space="preserve"> D’autres organes sont également capables de métaboliser les médicaments lors du premier</w:t>
      </w:r>
      <w:r>
        <w:rPr>
          <w:rFonts w:ascii="Times New Roman" w:hAnsi="Times New Roman" w:cs="Times New Roman"/>
          <w:sz w:val="24"/>
          <w:szCs w:val="24"/>
        </w:rPr>
        <w:t xml:space="preserve"> </w:t>
      </w:r>
      <w:r w:rsidR="00555326" w:rsidRPr="00EC7F30">
        <w:rPr>
          <w:rFonts w:ascii="Times New Roman" w:hAnsi="Times New Roman" w:cs="Times New Roman"/>
          <w:sz w:val="24"/>
          <w:szCs w:val="24"/>
        </w:rPr>
        <w:t>passage (poumon, estomac et intestin) mais le foie est qua</w:t>
      </w:r>
      <w:r w:rsidR="004A5FA3">
        <w:rPr>
          <w:rFonts w:ascii="Times New Roman" w:hAnsi="Times New Roman" w:cs="Times New Roman"/>
          <w:sz w:val="24"/>
          <w:szCs w:val="24"/>
        </w:rPr>
        <w:t>ntitativement le plus important</w:t>
      </w:r>
      <w:r w:rsidR="00555326" w:rsidRPr="00EC7F30">
        <w:rPr>
          <w:rFonts w:ascii="Times New Roman" w:hAnsi="Times New Roman" w:cs="Times New Roman"/>
          <w:sz w:val="24"/>
          <w:szCs w:val="24"/>
        </w:rPr>
        <w:t>.</w:t>
      </w:r>
    </w:p>
    <w:p w:rsidR="00E3461C" w:rsidRPr="008F7D8D" w:rsidRDefault="00E3461C" w:rsidP="008F7D8D">
      <w:pPr>
        <w:autoSpaceDE w:val="0"/>
        <w:autoSpaceDN w:val="0"/>
        <w:adjustRightInd w:val="0"/>
        <w:spacing w:after="0" w:line="360" w:lineRule="auto"/>
        <w:jc w:val="both"/>
        <w:rPr>
          <w:rFonts w:ascii="Times New Roman" w:hAnsi="Times New Roman" w:cs="Times New Roman"/>
          <w:b/>
          <w:bCs/>
          <w:sz w:val="24"/>
          <w:szCs w:val="24"/>
        </w:rPr>
      </w:pPr>
      <w:r w:rsidRPr="00EC7F30">
        <w:rPr>
          <w:rFonts w:ascii="Times New Roman" w:hAnsi="Times New Roman" w:cs="Times New Roman"/>
          <w:sz w:val="24"/>
          <w:szCs w:val="24"/>
        </w:rPr>
        <w:t xml:space="preserve">— </w:t>
      </w:r>
      <w:r w:rsidRPr="008F7D8D">
        <w:rPr>
          <w:rFonts w:ascii="Times New Roman" w:hAnsi="Times New Roman" w:cs="Times New Roman"/>
          <w:b/>
          <w:bCs/>
          <w:sz w:val="24"/>
          <w:szCs w:val="24"/>
        </w:rPr>
        <w:t>Cycle entéro-hépatique</w:t>
      </w:r>
      <w:r w:rsidR="008F7D8D" w:rsidRPr="008F7D8D">
        <w:rPr>
          <w:rFonts w:ascii="Times New Roman" w:hAnsi="Times New Roman" w:cs="Times New Roman"/>
          <w:b/>
          <w:bCs/>
          <w:sz w:val="24"/>
          <w:szCs w:val="24"/>
        </w:rPr>
        <w:t> :</w:t>
      </w:r>
      <w:r w:rsidR="008F7D8D">
        <w:rPr>
          <w:rFonts w:ascii="Times New Roman" w:hAnsi="Times New Roman" w:cs="Times New Roman"/>
          <w:b/>
          <w:bCs/>
          <w:sz w:val="24"/>
          <w:szCs w:val="24"/>
        </w:rPr>
        <w:t xml:space="preserve"> </w:t>
      </w:r>
      <w:r w:rsidRPr="001E4FB2">
        <w:rPr>
          <w:rFonts w:ascii="Times New Roman" w:hAnsi="Times New Roman" w:cs="Times New Roman"/>
          <w:sz w:val="24"/>
          <w:szCs w:val="24"/>
        </w:rPr>
        <w:t xml:space="preserve">Processus par lequel un médicament éliminé par voie biliaire peut être à nouveau résorbé à son arrivée dans </w:t>
      </w:r>
      <w:r w:rsidR="001E4FB2">
        <w:rPr>
          <w:rFonts w:ascii="Times New Roman" w:hAnsi="Times New Roman" w:cs="Times New Roman"/>
          <w:sz w:val="24"/>
          <w:szCs w:val="24"/>
        </w:rPr>
        <w:t>l’intestin</w:t>
      </w:r>
      <w:r w:rsidRPr="00BC2A9F">
        <w:rPr>
          <w:rFonts w:ascii="Times New Roman" w:hAnsi="Times New Roman" w:cs="Times New Roman"/>
          <w:i/>
          <w:iCs/>
          <w:sz w:val="24"/>
          <w:szCs w:val="24"/>
        </w:rPr>
        <w:t xml:space="preserve"> </w:t>
      </w:r>
      <w:r w:rsidRPr="00BC2A9F">
        <w:rPr>
          <w:rFonts w:ascii="Times New Roman" w:hAnsi="Times New Roman" w:cs="Times New Roman"/>
          <w:sz w:val="24"/>
          <w:szCs w:val="24"/>
        </w:rPr>
        <w:t>et rejoindre la circulation générale. Ce phénomène intervient pour des</w:t>
      </w:r>
      <w:r>
        <w:rPr>
          <w:rFonts w:ascii="Times New Roman" w:hAnsi="Times New Roman" w:cs="Times New Roman"/>
          <w:i/>
          <w:iCs/>
          <w:sz w:val="24"/>
          <w:szCs w:val="24"/>
        </w:rPr>
        <w:t xml:space="preserve"> </w:t>
      </w:r>
      <w:r w:rsidRPr="00BC2A9F">
        <w:rPr>
          <w:rFonts w:ascii="Times New Roman" w:hAnsi="Times New Roman" w:cs="Times New Roman"/>
          <w:sz w:val="24"/>
          <w:szCs w:val="24"/>
        </w:rPr>
        <w:t>principes actif</w:t>
      </w:r>
      <w:r>
        <w:rPr>
          <w:rFonts w:ascii="Times New Roman" w:hAnsi="Times New Roman" w:cs="Times New Roman"/>
          <w:sz w:val="24"/>
          <w:szCs w:val="24"/>
        </w:rPr>
        <w:t xml:space="preserve">s ayant une excrétion biliaire. </w:t>
      </w:r>
      <w:r w:rsidRPr="00BC2A9F">
        <w:rPr>
          <w:rFonts w:ascii="Times New Roman" w:hAnsi="Times New Roman" w:cs="Times New Roman"/>
          <w:sz w:val="24"/>
          <w:szCs w:val="24"/>
        </w:rPr>
        <w:t>Ce recyclage conduit à une augmentation des concentrations</w:t>
      </w:r>
      <w:r>
        <w:rPr>
          <w:rFonts w:ascii="Times New Roman" w:hAnsi="Times New Roman" w:cs="Times New Roman"/>
          <w:i/>
          <w:iCs/>
          <w:sz w:val="24"/>
          <w:szCs w:val="24"/>
        </w:rPr>
        <w:t xml:space="preserve"> </w:t>
      </w:r>
      <w:r w:rsidRPr="00BC2A9F">
        <w:rPr>
          <w:rFonts w:ascii="Times New Roman" w:hAnsi="Times New Roman" w:cs="Times New Roman"/>
          <w:sz w:val="24"/>
          <w:szCs w:val="24"/>
        </w:rPr>
        <w:t>plasmatiques</w:t>
      </w:r>
    </w:p>
    <w:p w:rsidR="00E129D2" w:rsidRPr="00EC5BD1" w:rsidRDefault="00E129D2" w:rsidP="00EC5BD1">
      <w:pPr>
        <w:pStyle w:val="Paragraphedeliste"/>
        <w:numPr>
          <w:ilvl w:val="0"/>
          <w:numId w:val="2"/>
        </w:numPr>
        <w:autoSpaceDE w:val="0"/>
        <w:autoSpaceDN w:val="0"/>
        <w:adjustRightInd w:val="0"/>
        <w:spacing w:after="0" w:line="360" w:lineRule="auto"/>
        <w:jc w:val="both"/>
        <w:rPr>
          <w:rFonts w:ascii="Times New Roman" w:hAnsi="Times New Roman" w:cs="Times New Roman"/>
          <w:b/>
          <w:bCs/>
          <w:sz w:val="24"/>
          <w:szCs w:val="24"/>
        </w:rPr>
      </w:pPr>
      <w:r w:rsidRPr="00EC5BD1">
        <w:rPr>
          <w:rFonts w:ascii="Times New Roman" w:hAnsi="Times New Roman" w:cs="Times New Roman"/>
          <w:b/>
          <w:bCs/>
          <w:sz w:val="24"/>
          <w:szCs w:val="24"/>
        </w:rPr>
        <w:t>Le facteur quantitatif (F)</w:t>
      </w:r>
      <w:r w:rsidRPr="00EC5BD1">
        <w:rPr>
          <w:rFonts w:ascii="Times New Roman" w:hAnsi="Times New Roman" w:cs="Times New Roman"/>
          <w:sz w:val="24"/>
          <w:szCs w:val="24"/>
        </w:rPr>
        <w:t xml:space="preserve"> </w:t>
      </w:r>
      <w:r w:rsidRPr="00EC5BD1">
        <w:rPr>
          <w:rFonts w:ascii="Times New Roman" w:hAnsi="Times New Roman" w:cs="Times New Roman"/>
          <w:b/>
          <w:bCs/>
          <w:sz w:val="24"/>
          <w:szCs w:val="24"/>
        </w:rPr>
        <w:t>de la biodisponibilité</w:t>
      </w:r>
    </w:p>
    <w:p w:rsidR="00E129D2" w:rsidRDefault="00E129D2" w:rsidP="004A5FA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On distingue :</w:t>
      </w:r>
    </w:p>
    <w:p w:rsidR="00447417" w:rsidRPr="00383D84" w:rsidRDefault="00E129D2" w:rsidP="00C3681D">
      <w:pPr>
        <w:autoSpaceDE w:val="0"/>
        <w:autoSpaceDN w:val="0"/>
        <w:adjustRightInd w:val="0"/>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La </w:t>
      </w:r>
      <w:r>
        <w:rPr>
          <w:rFonts w:ascii="Times New Roman" w:hAnsi="Times New Roman" w:cs="Times New Roman"/>
          <w:b/>
          <w:bCs/>
          <w:sz w:val="24"/>
          <w:szCs w:val="24"/>
        </w:rPr>
        <w:t xml:space="preserve">biodisponibilité absolue </w:t>
      </w:r>
      <w:r>
        <w:rPr>
          <w:rFonts w:ascii="Times New Roman" w:hAnsi="Times New Roman" w:cs="Times New Roman"/>
          <w:sz w:val="24"/>
          <w:szCs w:val="24"/>
        </w:rPr>
        <w:t xml:space="preserve">: </w:t>
      </w:r>
      <w:r w:rsidRPr="00383D84">
        <w:rPr>
          <w:rFonts w:ascii="Times New Roman" w:hAnsi="Times New Roman" w:cs="Times New Roman"/>
          <w:sz w:val="24"/>
          <w:szCs w:val="24"/>
        </w:rPr>
        <w:t xml:space="preserve">une forme </w:t>
      </w:r>
      <w:proofErr w:type="spellStart"/>
      <w:r w:rsidRPr="00383D84">
        <w:rPr>
          <w:rFonts w:ascii="Times New Roman" w:hAnsi="Times New Roman" w:cs="Times New Roman"/>
          <w:sz w:val="24"/>
          <w:szCs w:val="24"/>
        </w:rPr>
        <w:t>extra-vasculaire</w:t>
      </w:r>
      <w:proofErr w:type="spellEnd"/>
      <w:r w:rsidRPr="00383D84">
        <w:rPr>
          <w:rFonts w:ascii="Times New Roman" w:hAnsi="Times New Roman" w:cs="Times New Roman"/>
          <w:sz w:val="24"/>
          <w:szCs w:val="24"/>
        </w:rPr>
        <w:t xml:space="preserve"> est comparée à la forme de référence qui est le médicament administré par voie intraveineuse puisque par définition toute la dose atteint la circulation générale.</w:t>
      </w:r>
    </w:p>
    <w:p w:rsidR="00447417" w:rsidRPr="00686E7F" w:rsidRDefault="00447417" w:rsidP="0008177E">
      <w:pPr>
        <w:autoSpaceDE w:val="0"/>
        <w:autoSpaceDN w:val="0"/>
        <w:adjustRightInd w:val="0"/>
        <w:spacing w:after="0" w:line="360" w:lineRule="auto"/>
        <w:ind w:firstLine="567"/>
        <w:jc w:val="both"/>
        <w:rPr>
          <w:rFonts w:ascii="Times New Roman" w:hAnsi="Times New Roman" w:cs="Times New Roman"/>
          <w:sz w:val="24"/>
          <w:szCs w:val="24"/>
        </w:rPr>
      </w:pPr>
      <w:r w:rsidRPr="00686E7F">
        <w:rPr>
          <w:rFonts w:ascii="Times New Roman" w:hAnsi="Times New Roman" w:cs="Times New Roman"/>
          <w:sz w:val="24"/>
          <w:szCs w:val="24"/>
        </w:rPr>
        <w:t>A partir des courbes représentant l’évolution des concentrations plasmatiques en fonction du temps, on calcule les aires sous la courbe (</w:t>
      </w:r>
      <w:r w:rsidR="007A17C4">
        <w:rPr>
          <w:rFonts w:ascii="Times New Roman" w:hAnsi="Times New Roman" w:cs="Times New Roman"/>
          <w:i/>
          <w:iCs/>
          <w:sz w:val="24"/>
          <w:szCs w:val="24"/>
        </w:rPr>
        <w:t xml:space="preserve">Area Under the </w:t>
      </w:r>
      <w:proofErr w:type="spellStart"/>
      <w:r w:rsidR="007A17C4">
        <w:rPr>
          <w:rFonts w:ascii="Times New Roman" w:hAnsi="Times New Roman" w:cs="Times New Roman"/>
          <w:i/>
          <w:iCs/>
          <w:sz w:val="24"/>
          <w:szCs w:val="24"/>
        </w:rPr>
        <w:t>C</w:t>
      </w:r>
      <w:r w:rsidRPr="0008177E">
        <w:rPr>
          <w:rFonts w:ascii="Times New Roman" w:hAnsi="Times New Roman" w:cs="Times New Roman"/>
          <w:i/>
          <w:iCs/>
          <w:sz w:val="24"/>
          <w:szCs w:val="24"/>
        </w:rPr>
        <w:t>urve</w:t>
      </w:r>
      <w:proofErr w:type="spellEnd"/>
      <w:r w:rsidRPr="00686E7F">
        <w:rPr>
          <w:rFonts w:ascii="Times New Roman" w:hAnsi="Times New Roman" w:cs="Times New Roman"/>
          <w:sz w:val="24"/>
          <w:szCs w:val="24"/>
        </w:rPr>
        <w:t xml:space="preserve"> = AUC) pour les deux formes d’administration.</w:t>
      </w:r>
    </w:p>
    <w:p w:rsidR="00447417" w:rsidRPr="00686E7F" w:rsidRDefault="00447417" w:rsidP="00E9565A">
      <w:pPr>
        <w:autoSpaceDE w:val="0"/>
        <w:autoSpaceDN w:val="0"/>
        <w:adjustRightInd w:val="0"/>
        <w:spacing w:after="0" w:line="360" w:lineRule="auto"/>
        <w:ind w:firstLine="567"/>
        <w:jc w:val="both"/>
        <w:rPr>
          <w:rFonts w:ascii="Times New Roman" w:hAnsi="Times New Roman" w:cs="Times New Roman"/>
          <w:sz w:val="24"/>
          <w:szCs w:val="24"/>
        </w:rPr>
      </w:pPr>
      <w:r w:rsidRPr="00686E7F">
        <w:rPr>
          <w:rFonts w:ascii="Times New Roman" w:hAnsi="Times New Roman" w:cs="Times New Roman"/>
          <w:sz w:val="24"/>
          <w:szCs w:val="24"/>
        </w:rPr>
        <w:lastRenderedPageBreak/>
        <w:t xml:space="preserve">La courbe après administration </w:t>
      </w:r>
      <w:r w:rsidR="00A97B2F">
        <w:rPr>
          <w:rFonts w:ascii="Times New Roman" w:hAnsi="Times New Roman" w:cs="Times New Roman"/>
          <w:sz w:val="24"/>
          <w:szCs w:val="24"/>
        </w:rPr>
        <w:t>intraveineuse</w:t>
      </w:r>
      <w:r w:rsidR="00491960">
        <w:rPr>
          <w:rFonts w:ascii="Times New Roman" w:hAnsi="Times New Roman" w:cs="Times New Roman"/>
          <w:sz w:val="24"/>
          <w:szCs w:val="24"/>
        </w:rPr>
        <w:t xml:space="preserve"> (</w:t>
      </w:r>
      <w:proofErr w:type="spellStart"/>
      <w:r w:rsidR="00491960">
        <w:rPr>
          <w:rFonts w:ascii="Times New Roman" w:hAnsi="Times New Roman" w:cs="Times New Roman"/>
          <w:sz w:val="24"/>
          <w:szCs w:val="24"/>
        </w:rPr>
        <w:t>i.v</w:t>
      </w:r>
      <w:proofErr w:type="spellEnd"/>
      <w:r w:rsidR="00491960">
        <w:rPr>
          <w:rFonts w:ascii="Times New Roman" w:hAnsi="Times New Roman" w:cs="Times New Roman"/>
          <w:sz w:val="24"/>
          <w:szCs w:val="24"/>
        </w:rPr>
        <w:t>)</w:t>
      </w:r>
      <w:r w:rsidRPr="00686E7F">
        <w:rPr>
          <w:rFonts w:ascii="Times New Roman" w:hAnsi="Times New Roman" w:cs="Times New Roman"/>
          <w:sz w:val="24"/>
          <w:szCs w:val="24"/>
        </w:rPr>
        <w:t xml:space="preserve"> décrit la disparition du médicament du compartiment plasmatique.</w:t>
      </w:r>
      <w:r w:rsidR="00383D84">
        <w:rPr>
          <w:rFonts w:ascii="Times New Roman" w:hAnsi="Times New Roman" w:cs="Times New Roman"/>
          <w:sz w:val="24"/>
          <w:szCs w:val="24"/>
        </w:rPr>
        <w:t xml:space="preserve"> </w:t>
      </w:r>
      <w:r w:rsidRPr="00686E7F">
        <w:rPr>
          <w:rFonts w:ascii="Times New Roman" w:hAnsi="Times New Roman" w:cs="Times New Roman"/>
          <w:sz w:val="24"/>
          <w:szCs w:val="24"/>
        </w:rPr>
        <w:t>Celle-ci est due à la distribution du médicament dans d’autres compartiments et à son élimination.</w:t>
      </w:r>
    </w:p>
    <w:p w:rsidR="00447417" w:rsidRPr="00686E7F" w:rsidRDefault="00383D84" w:rsidP="00E9565A">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Après administration orale</w:t>
      </w:r>
      <w:r w:rsidR="00447417" w:rsidRPr="00686E7F">
        <w:rPr>
          <w:rFonts w:ascii="Times New Roman" w:hAnsi="Times New Roman" w:cs="Times New Roman"/>
          <w:sz w:val="24"/>
          <w:szCs w:val="24"/>
        </w:rPr>
        <w:t xml:space="preserve">, la courbe est </w:t>
      </w:r>
      <w:proofErr w:type="spellStart"/>
      <w:r w:rsidR="00447417" w:rsidRPr="00686E7F">
        <w:rPr>
          <w:rFonts w:ascii="Times New Roman" w:hAnsi="Times New Roman" w:cs="Times New Roman"/>
          <w:sz w:val="24"/>
          <w:szCs w:val="24"/>
        </w:rPr>
        <w:t>biphasique</w:t>
      </w:r>
      <w:proofErr w:type="spellEnd"/>
      <w:r w:rsidR="00447417" w:rsidRPr="00686E7F">
        <w:rPr>
          <w:rFonts w:ascii="Times New Roman" w:hAnsi="Times New Roman" w:cs="Times New Roman"/>
          <w:sz w:val="24"/>
          <w:szCs w:val="24"/>
        </w:rPr>
        <w:t xml:space="preserve"> : elle décrit tout d’abord l’augmentation des concentrations plasmatiques liée à la résorption du médicament puis la diminution de ces concentrations liée à sa distribution et à son élimination. Le point où la concentration est maximale correspond à un équilibre entre la quantité de médicament qui est résorbée et celle qui disparaît du plasma.</w:t>
      </w:r>
    </w:p>
    <w:p w:rsidR="00447417" w:rsidRDefault="00C07B4F" w:rsidP="00447417">
      <w:pPr>
        <w:autoSpaceDE w:val="0"/>
        <w:autoSpaceDN w:val="0"/>
        <w:adjustRightInd w:val="0"/>
        <w:spacing w:after="0" w:line="240" w:lineRule="auto"/>
        <w:rPr>
          <w:rFonts w:ascii="Times New Roman" w:hAnsi="Times New Roman" w:cs="Times New Roman"/>
          <w:color w:val="00B0F0"/>
        </w:rPr>
      </w:pPr>
      <w:r>
        <w:rPr>
          <w:rFonts w:ascii="Times New Roman" w:hAnsi="Times New Roman" w:cs="Times New Roman"/>
          <w:noProof/>
          <w:color w:val="00B0F0"/>
          <w:lang w:eastAsia="fr-FR"/>
        </w:rPr>
        <w:drawing>
          <wp:inline distT="0" distB="0" distL="0" distR="0" wp14:anchorId="234B1B58" wp14:editId="1364D43D">
            <wp:extent cx="5724525" cy="28670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2867025"/>
                    </a:xfrm>
                    <a:prstGeom prst="rect">
                      <a:avLst/>
                    </a:prstGeom>
                    <a:noFill/>
                    <a:ln>
                      <a:noFill/>
                    </a:ln>
                  </pic:spPr>
                </pic:pic>
              </a:graphicData>
            </a:graphic>
          </wp:inline>
        </w:drawing>
      </w:r>
    </w:p>
    <w:p w:rsidR="00846EF6" w:rsidRPr="00A10223" w:rsidRDefault="00846EF6" w:rsidP="00A10223">
      <w:pPr>
        <w:autoSpaceDE w:val="0"/>
        <w:autoSpaceDN w:val="0"/>
        <w:adjustRightInd w:val="0"/>
        <w:spacing w:after="0" w:line="360" w:lineRule="auto"/>
        <w:ind w:firstLine="567"/>
        <w:jc w:val="both"/>
        <w:rPr>
          <w:rFonts w:ascii="Times New Roman" w:hAnsi="Times New Roman" w:cs="Times New Roman"/>
          <w:sz w:val="24"/>
          <w:szCs w:val="24"/>
        </w:rPr>
      </w:pPr>
      <w:r w:rsidRPr="00686E7F">
        <w:rPr>
          <w:rFonts w:ascii="Times New Roman" w:hAnsi="Times New Roman" w:cs="Times New Roman"/>
          <w:sz w:val="24"/>
          <w:szCs w:val="24"/>
        </w:rPr>
        <w:t>Dans cet exemple</w:t>
      </w:r>
      <w:r w:rsidRPr="00686E7F">
        <w:rPr>
          <w:rFonts w:ascii="Times New Roman" w:hAnsi="Times New Roman" w:cs="Times New Roman"/>
          <w:i/>
          <w:iCs/>
          <w:sz w:val="24"/>
          <w:szCs w:val="24"/>
        </w:rPr>
        <w:t xml:space="preserve">, </w:t>
      </w:r>
      <w:r w:rsidRPr="003528F6">
        <w:rPr>
          <w:rFonts w:ascii="Times New Roman" w:hAnsi="Times New Roman" w:cs="Times New Roman"/>
          <w:sz w:val="24"/>
          <w:szCs w:val="24"/>
        </w:rPr>
        <w:t>la biodisponibilité absolue (F) de la forme orale est déterminée par le rapport :</w:t>
      </w:r>
      <w:r w:rsidR="00491960" w:rsidRPr="003528F6">
        <w:rPr>
          <w:rFonts w:ascii="Times New Roman" w:hAnsi="Times New Roman" w:cs="Times New Roman"/>
          <w:sz w:val="24"/>
          <w:szCs w:val="24"/>
        </w:rPr>
        <w:t xml:space="preserve"> </w:t>
      </w:r>
      <w:r w:rsidRPr="00686E7F">
        <w:rPr>
          <w:rFonts w:ascii="Times New Roman" w:hAnsi="Times New Roman" w:cs="Times New Roman"/>
          <w:i/>
          <w:iCs/>
          <w:sz w:val="24"/>
          <w:szCs w:val="24"/>
        </w:rPr>
        <w:t xml:space="preserve">(AUC orale) / (AUC </w:t>
      </w:r>
      <w:proofErr w:type="spellStart"/>
      <w:r w:rsidRPr="00686E7F">
        <w:rPr>
          <w:rFonts w:ascii="Times New Roman" w:hAnsi="Times New Roman" w:cs="Times New Roman"/>
          <w:i/>
          <w:iCs/>
          <w:sz w:val="24"/>
          <w:szCs w:val="24"/>
        </w:rPr>
        <w:t>i.v</w:t>
      </w:r>
      <w:proofErr w:type="spellEnd"/>
      <w:r w:rsidRPr="00686E7F">
        <w:rPr>
          <w:rFonts w:ascii="Times New Roman" w:hAnsi="Times New Roman" w:cs="Times New Roman"/>
          <w:i/>
          <w:iCs/>
          <w:sz w:val="24"/>
          <w:szCs w:val="24"/>
        </w:rPr>
        <w:t>.).</w:t>
      </w:r>
    </w:p>
    <w:p w:rsidR="00846EF6" w:rsidRPr="00686E7F" w:rsidRDefault="00846EF6" w:rsidP="003528F6">
      <w:pPr>
        <w:autoSpaceDE w:val="0"/>
        <w:autoSpaceDN w:val="0"/>
        <w:adjustRightInd w:val="0"/>
        <w:spacing w:after="0" w:line="360" w:lineRule="auto"/>
        <w:ind w:firstLine="567"/>
        <w:jc w:val="both"/>
        <w:rPr>
          <w:rFonts w:ascii="Times New Roman" w:hAnsi="Times New Roman" w:cs="Times New Roman"/>
          <w:i/>
          <w:iCs/>
          <w:sz w:val="24"/>
          <w:szCs w:val="24"/>
        </w:rPr>
      </w:pPr>
      <w:r w:rsidRPr="00686E7F">
        <w:rPr>
          <w:rFonts w:ascii="Times New Roman" w:hAnsi="Times New Roman" w:cs="Times New Roman"/>
          <w:sz w:val="24"/>
          <w:szCs w:val="24"/>
        </w:rPr>
        <w:t>De même</w:t>
      </w:r>
      <w:r w:rsidRPr="00686E7F">
        <w:rPr>
          <w:rFonts w:ascii="Times New Roman" w:hAnsi="Times New Roman" w:cs="Times New Roman"/>
          <w:i/>
          <w:iCs/>
          <w:sz w:val="24"/>
          <w:szCs w:val="24"/>
        </w:rPr>
        <w:t xml:space="preserve">, </w:t>
      </w:r>
      <w:r w:rsidRPr="003528F6">
        <w:rPr>
          <w:rFonts w:ascii="Times New Roman" w:hAnsi="Times New Roman" w:cs="Times New Roman"/>
          <w:sz w:val="24"/>
          <w:szCs w:val="24"/>
        </w:rPr>
        <w:t>la biodisponibilité absolue d’une forme administrée par une autre voie sera déterminée par le rapport</w:t>
      </w:r>
      <w:r w:rsidR="003528F6">
        <w:rPr>
          <w:rFonts w:ascii="Times New Roman" w:hAnsi="Times New Roman" w:cs="Times New Roman"/>
          <w:sz w:val="24"/>
          <w:szCs w:val="24"/>
        </w:rPr>
        <w:t> :</w:t>
      </w:r>
      <w:r w:rsidRPr="003528F6">
        <w:rPr>
          <w:rFonts w:ascii="Times New Roman" w:hAnsi="Times New Roman" w:cs="Times New Roman"/>
          <w:sz w:val="24"/>
          <w:szCs w:val="24"/>
        </w:rPr>
        <w:t xml:space="preserve"> </w:t>
      </w:r>
      <w:r w:rsidRPr="00686E7F">
        <w:rPr>
          <w:rFonts w:ascii="Times New Roman" w:hAnsi="Times New Roman" w:cs="Times New Roman"/>
          <w:i/>
          <w:iCs/>
          <w:sz w:val="24"/>
          <w:szCs w:val="24"/>
        </w:rPr>
        <w:t>AUC « autre voie »</w:t>
      </w:r>
      <w:r w:rsidR="005A382B">
        <w:rPr>
          <w:rFonts w:ascii="Times New Roman" w:hAnsi="Times New Roman" w:cs="Times New Roman"/>
          <w:i/>
          <w:iCs/>
          <w:sz w:val="24"/>
          <w:szCs w:val="24"/>
        </w:rPr>
        <w:t xml:space="preserve"> </w:t>
      </w:r>
      <w:r w:rsidRPr="00686E7F">
        <w:rPr>
          <w:rFonts w:ascii="Times New Roman" w:hAnsi="Times New Roman" w:cs="Times New Roman"/>
          <w:i/>
          <w:iCs/>
          <w:sz w:val="24"/>
          <w:szCs w:val="24"/>
        </w:rPr>
        <w:t xml:space="preserve">/ AUC </w:t>
      </w:r>
      <w:proofErr w:type="spellStart"/>
      <w:r w:rsidRPr="00686E7F">
        <w:rPr>
          <w:rFonts w:ascii="Times New Roman" w:hAnsi="Times New Roman" w:cs="Times New Roman"/>
          <w:i/>
          <w:iCs/>
          <w:sz w:val="24"/>
          <w:szCs w:val="24"/>
        </w:rPr>
        <w:t>i.v</w:t>
      </w:r>
      <w:proofErr w:type="spellEnd"/>
      <w:r w:rsidRPr="00686E7F">
        <w:rPr>
          <w:rFonts w:ascii="Times New Roman" w:hAnsi="Times New Roman" w:cs="Times New Roman"/>
          <w:i/>
          <w:iCs/>
          <w:sz w:val="24"/>
          <w:szCs w:val="24"/>
        </w:rPr>
        <w:t>.</w:t>
      </w:r>
    </w:p>
    <w:p w:rsidR="00846EF6" w:rsidRPr="00686E7F" w:rsidRDefault="00846EF6" w:rsidP="00515A1F">
      <w:pPr>
        <w:autoSpaceDE w:val="0"/>
        <w:autoSpaceDN w:val="0"/>
        <w:adjustRightInd w:val="0"/>
        <w:spacing w:after="0" w:line="360" w:lineRule="auto"/>
        <w:ind w:firstLine="567"/>
        <w:jc w:val="both"/>
        <w:rPr>
          <w:rFonts w:ascii="Times New Roman" w:hAnsi="Times New Roman" w:cs="Times New Roman"/>
          <w:sz w:val="24"/>
          <w:szCs w:val="24"/>
        </w:rPr>
      </w:pPr>
      <w:r w:rsidRPr="00C3046B">
        <w:rPr>
          <w:rFonts w:ascii="Times New Roman" w:hAnsi="Times New Roman" w:cs="Times New Roman"/>
          <w:b/>
          <w:bCs/>
          <w:sz w:val="24"/>
          <w:szCs w:val="24"/>
        </w:rPr>
        <w:t>Biodisponibilité absolue voie orale</w:t>
      </w:r>
      <w:r w:rsidRPr="00686E7F">
        <w:rPr>
          <w:rFonts w:ascii="Times New Roman" w:hAnsi="Times New Roman" w:cs="Times New Roman"/>
          <w:sz w:val="24"/>
          <w:szCs w:val="24"/>
        </w:rPr>
        <w:t xml:space="preserve"> </w:t>
      </w:r>
      <w:r w:rsidRPr="00C3046B">
        <w:rPr>
          <w:rFonts w:ascii="Times New Roman" w:hAnsi="Times New Roman" w:cs="Times New Roman"/>
          <w:b/>
          <w:bCs/>
          <w:sz w:val="24"/>
          <w:szCs w:val="24"/>
        </w:rPr>
        <w:t>:</w:t>
      </w:r>
      <w:r w:rsidR="00515A1F" w:rsidRPr="00C3046B">
        <w:rPr>
          <w:rFonts w:ascii="Times New Roman" w:hAnsi="Times New Roman" w:cs="Times New Roman"/>
          <w:b/>
          <w:bCs/>
          <w:sz w:val="24"/>
          <w:szCs w:val="24"/>
        </w:rPr>
        <w:t xml:space="preserve"> </w:t>
      </w:r>
      <w:r w:rsidRPr="00515A1F">
        <w:rPr>
          <w:rFonts w:ascii="Times New Roman" w:hAnsi="Times New Roman" w:cs="Times New Roman"/>
          <w:b/>
          <w:bCs/>
          <w:sz w:val="24"/>
          <w:szCs w:val="24"/>
        </w:rPr>
        <w:t>F</w:t>
      </w:r>
      <w:r w:rsidRPr="00686E7F">
        <w:rPr>
          <w:rFonts w:ascii="Times New Roman" w:hAnsi="Times New Roman" w:cs="Times New Roman"/>
          <w:sz w:val="24"/>
          <w:szCs w:val="24"/>
        </w:rPr>
        <w:t xml:space="preserve"> = AUC orale</w:t>
      </w:r>
      <w:r w:rsidRPr="00686E7F">
        <w:rPr>
          <w:rFonts w:ascii="Times New Roman" w:hAnsi="Times New Roman" w:cs="Times New Roman"/>
          <w:i/>
          <w:iCs/>
          <w:sz w:val="24"/>
          <w:szCs w:val="24"/>
        </w:rPr>
        <w:t>/</w:t>
      </w:r>
      <w:r w:rsidRPr="00686E7F">
        <w:rPr>
          <w:rFonts w:ascii="Times New Roman" w:hAnsi="Times New Roman" w:cs="Times New Roman"/>
          <w:sz w:val="24"/>
          <w:szCs w:val="24"/>
        </w:rPr>
        <w:t xml:space="preserve"> AUC </w:t>
      </w:r>
      <w:proofErr w:type="spellStart"/>
      <w:r w:rsidRPr="00686E7F">
        <w:rPr>
          <w:rFonts w:ascii="Times New Roman" w:hAnsi="Times New Roman" w:cs="Times New Roman"/>
          <w:sz w:val="24"/>
          <w:szCs w:val="24"/>
        </w:rPr>
        <w:t>i.v</w:t>
      </w:r>
      <w:proofErr w:type="spellEnd"/>
      <w:r w:rsidRPr="00686E7F">
        <w:rPr>
          <w:rFonts w:ascii="Times New Roman" w:hAnsi="Times New Roman" w:cs="Times New Roman"/>
          <w:sz w:val="24"/>
          <w:szCs w:val="24"/>
        </w:rPr>
        <w:t>. pour une même dose administrée pour les deux voies</w:t>
      </w:r>
    </w:p>
    <w:p w:rsidR="00D13C57" w:rsidRDefault="00E129D2" w:rsidP="002E0AB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La </w:t>
      </w:r>
      <w:r>
        <w:rPr>
          <w:rFonts w:ascii="Times New Roman" w:hAnsi="Times New Roman" w:cs="Times New Roman"/>
          <w:b/>
          <w:bCs/>
          <w:sz w:val="24"/>
          <w:szCs w:val="24"/>
        </w:rPr>
        <w:t xml:space="preserve">biodisponibilité relative </w:t>
      </w:r>
      <w:r>
        <w:rPr>
          <w:rFonts w:ascii="Times New Roman" w:hAnsi="Times New Roman" w:cs="Times New Roman"/>
          <w:sz w:val="24"/>
          <w:szCs w:val="24"/>
        </w:rPr>
        <w:t xml:space="preserve">où la forme de référence est administrée par une autre voie que la voie </w:t>
      </w:r>
      <w:proofErr w:type="spellStart"/>
      <w:r>
        <w:rPr>
          <w:rFonts w:ascii="Times New Roman" w:hAnsi="Times New Roman" w:cs="Times New Roman"/>
          <w:sz w:val="24"/>
          <w:szCs w:val="24"/>
        </w:rPr>
        <w:t>intra-veineuse</w:t>
      </w:r>
      <w:proofErr w:type="spellEnd"/>
      <w:r>
        <w:rPr>
          <w:rFonts w:ascii="Times New Roman" w:hAnsi="Times New Roman" w:cs="Times New Roman"/>
          <w:sz w:val="24"/>
          <w:szCs w:val="24"/>
        </w:rPr>
        <w:t>. Cette forme de référence peut être administrée par la même voie que la forme à tester, mais il s’agit soit d’une autre forme galénique (solution aq</w:t>
      </w:r>
      <w:r w:rsidR="002E0ABD">
        <w:rPr>
          <w:rFonts w:ascii="Times New Roman" w:hAnsi="Times New Roman" w:cs="Times New Roman"/>
          <w:sz w:val="24"/>
          <w:szCs w:val="24"/>
        </w:rPr>
        <w:t>ueuse, suspension..).</w:t>
      </w:r>
    </w:p>
    <w:p w:rsidR="00D13C57" w:rsidRPr="00EC5BD1" w:rsidRDefault="00D13C57" w:rsidP="00EC5BD1">
      <w:pPr>
        <w:pStyle w:val="Paragraphedeliste"/>
        <w:numPr>
          <w:ilvl w:val="0"/>
          <w:numId w:val="2"/>
        </w:numPr>
        <w:autoSpaceDE w:val="0"/>
        <w:autoSpaceDN w:val="0"/>
        <w:adjustRightInd w:val="0"/>
        <w:spacing w:after="0" w:line="360" w:lineRule="auto"/>
        <w:jc w:val="both"/>
        <w:rPr>
          <w:rFonts w:ascii="Times New Roman" w:hAnsi="Times New Roman" w:cs="Times New Roman"/>
          <w:b/>
          <w:bCs/>
          <w:sz w:val="24"/>
          <w:szCs w:val="24"/>
        </w:rPr>
      </w:pPr>
      <w:r w:rsidRPr="00EC5BD1">
        <w:rPr>
          <w:rFonts w:ascii="Times New Roman" w:hAnsi="Times New Roman" w:cs="Times New Roman"/>
          <w:b/>
          <w:bCs/>
          <w:i/>
          <w:iCs/>
          <w:sz w:val="24"/>
          <w:szCs w:val="24"/>
        </w:rPr>
        <w:t>S</w:t>
      </w:r>
      <w:r w:rsidR="00EC5BD1" w:rsidRPr="00EC5BD1">
        <w:rPr>
          <w:rFonts w:ascii="Times New Roman" w:hAnsi="Times New Roman" w:cs="Times New Roman"/>
          <w:b/>
          <w:bCs/>
          <w:sz w:val="24"/>
          <w:szCs w:val="24"/>
        </w:rPr>
        <w:t xml:space="preserve">avoir interpréter la biodisponibilité absolue </w:t>
      </w:r>
      <w:r w:rsidRPr="00EC5BD1">
        <w:rPr>
          <w:rFonts w:ascii="Times New Roman" w:hAnsi="Times New Roman" w:cs="Times New Roman"/>
          <w:b/>
          <w:bCs/>
          <w:sz w:val="24"/>
          <w:szCs w:val="24"/>
        </w:rPr>
        <w:t>:</w:t>
      </w:r>
    </w:p>
    <w:p w:rsidR="00D13C57" w:rsidRDefault="00D13C57" w:rsidP="00C3046B">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On voit selon cette équation que si toute la dose administrée par voie orale est absorbée</w:t>
      </w:r>
      <w:r w:rsidR="00EC5BD1">
        <w:rPr>
          <w:rFonts w:ascii="Times New Roman" w:hAnsi="Times New Roman" w:cs="Times New Roman"/>
          <w:sz w:val="24"/>
          <w:szCs w:val="24"/>
        </w:rPr>
        <w:t xml:space="preserve"> </w:t>
      </w:r>
      <w:r>
        <w:rPr>
          <w:rFonts w:ascii="Times New Roman" w:hAnsi="Times New Roman" w:cs="Times New Roman"/>
          <w:sz w:val="24"/>
          <w:szCs w:val="24"/>
        </w:rPr>
        <w:t xml:space="preserve">(comme en </w:t>
      </w:r>
      <w:proofErr w:type="spellStart"/>
      <w:r>
        <w:rPr>
          <w:rFonts w:ascii="Times New Roman" w:hAnsi="Times New Roman" w:cs="Times New Roman"/>
          <w:sz w:val="24"/>
          <w:szCs w:val="24"/>
        </w:rPr>
        <w:t>intra-veineux</w:t>
      </w:r>
      <w:proofErr w:type="spellEnd"/>
      <w:r>
        <w:rPr>
          <w:rFonts w:ascii="Times New Roman" w:hAnsi="Times New Roman" w:cs="Times New Roman"/>
          <w:sz w:val="24"/>
          <w:szCs w:val="24"/>
        </w:rPr>
        <w:t>) la biodisponibilité absolue de ce produit sera 1.</w:t>
      </w:r>
    </w:p>
    <w:p w:rsidR="00D13C57" w:rsidRDefault="00D13C57" w:rsidP="00C3046B">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Une biodisponibilité absolue de 0,5 pour un produit signifie que seule la moitié de la quantité</w:t>
      </w:r>
      <w:r w:rsidR="005F3765">
        <w:rPr>
          <w:rFonts w:ascii="Times New Roman" w:hAnsi="Times New Roman" w:cs="Times New Roman"/>
          <w:sz w:val="24"/>
          <w:szCs w:val="24"/>
        </w:rPr>
        <w:t xml:space="preserve"> </w:t>
      </w:r>
      <w:r>
        <w:rPr>
          <w:rFonts w:ascii="Times New Roman" w:hAnsi="Times New Roman" w:cs="Times New Roman"/>
          <w:sz w:val="24"/>
          <w:szCs w:val="24"/>
        </w:rPr>
        <w:t xml:space="preserve">administrée est retrouvée dans </w:t>
      </w:r>
      <w:r w:rsidR="005F3765">
        <w:rPr>
          <w:rFonts w:ascii="Times New Roman" w:hAnsi="Times New Roman" w:cs="Times New Roman"/>
          <w:sz w:val="24"/>
          <w:szCs w:val="24"/>
        </w:rPr>
        <w:t>la</w:t>
      </w:r>
      <w:r>
        <w:rPr>
          <w:rFonts w:ascii="Times New Roman" w:hAnsi="Times New Roman" w:cs="Times New Roman"/>
          <w:sz w:val="24"/>
          <w:szCs w:val="24"/>
        </w:rPr>
        <w:t xml:space="preserve"> circulation générale.</w:t>
      </w:r>
    </w:p>
    <w:p w:rsidR="00EB0509" w:rsidRDefault="00D13C57" w:rsidP="003B44D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F est donc par définition compris entre 0 et 1</w:t>
      </w:r>
      <w:r w:rsidR="003B44DE">
        <w:rPr>
          <w:rFonts w:ascii="Times New Roman" w:hAnsi="Times New Roman" w:cs="Times New Roman"/>
          <w:sz w:val="24"/>
          <w:szCs w:val="24"/>
        </w:rPr>
        <w:t>.</w:t>
      </w:r>
    </w:p>
    <w:p w:rsidR="003904F8" w:rsidRPr="00CC1CEB" w:rsidRDefault="003904F8" w:rsidP="00CC1CEB">
      <w:pPr>
        <w:pStyle w:val="Paragraphedeliste"/>
        <w:numPr>
          <w:ilvl w:val="0"/>
          <w:numId w:val="1"/>
        </w:numPr>
        <w:autoSpaceDE w:val="0"/>
        <w:autoSpaceDN w:val="0"/>
        <w:adjustRightInd w:val="0"/>
        <w:spacing w:after="0" w:line="360" w:lineRule="auto"/>
        <w:jc w:val="both"/>
        <w:rPr>
          <w:rFonts w:asciiTheme="majorBidi" w:hAnsiTheme="majorBidi" w:cstheme="majorBidi"/>
          <w:b/>
          <w:bCs/>
          <w:sz w:val="24"/>
          <w:szCs w:val="24"/>
        </w:rPr>
      </w:pPr>
      <w:r w:rsidRPr="00CC1CEB">
        <w:rPr>
          <w:rFonts w:asciiTheme="majorBidi" w:hAnsiTheme="majorBidi" w:cstheme="majorBidi"/>
          <w:b/>
          <w:bCs/>
          <w:sz w:val="24"/>
          <w:szCs w:val="24"/>
        </w:rPr>
        <w:t>Distribution</w:t>
      </w:r>
    </w:p>
    <w:p w:rsidR="003904F8" w:rsidRDefault="003904F8" w:rsidP="006C310C">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Une fois la circulation sanguine atteinte, les médicaments vont se distribuer dans l’organisme. Les caractéristiques physico-chimiques du médicament conditionnent son affinité pour les différents tissus mais d’autres facteurs vont influencer la distribution.</w:t>
      </w:r>
    </w:p>
    <w:p w:rsidR="007F022B" w:rsidRPr="00CC1CEB" w:rsidRDefault="00C10B9E" w:rsidP="00CC1CEB">
      <w:pPr>
        <w:pStyle w:val="Paragraphedeliste"/>
        <w:numPr>
          <w:ilvl w:val="1"/>
          <w:numId w:val="1"/>
        </w:num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 </w:t>
      </w:r>
      <w:r w:rsidR="007F022B" w:rsidRPr="00CC1CEB">
        <w:rPr>
          <w:rFonts w:asciiTheme="majorBidi" w:hAnsiTheme="majorBidi" w:cstheme="majorBidi"/>
          <w:b/>
          <w:bCs/>
          <w:sz w:val="24"/>
          <w:szCs w:val="24"/>
        </w:rPr>
        <w:t>Fixation aux protéines plasmatiques</w:t>
      </w:r>
    </w:p>
    <w:p w:rsidR="007F022B" w:rsidRPr="00CC1CEB" w:rsidRDefault="007F022B" w:rsidP="006C310C">
      <w:pPr>
        <w:autoSpaceDE w:val="0"/>
        <w:autoSpaceDN w:val="0"/>
        <w:adjustRightInd w:val="0"/>
        <w:spacing w:after="0" w:line="360" w:lineRule="auto"/>
        <w:ind w:firstLine="567"/>
        <w:jc w:val="both"/>
        <w:rPr>
          <w:rFonts w:asciiTheme="majorBidi" w:hAnsiTheme="majorBidi" w:cstheme="majorBidi"/>
          <w:sz w:val="24"/>
          <w:szCs w:val="24"/>
        </w:rPr>
      </w:pPr>
      <w:r w:rsidRPr="00CC1CEB">
        <w:rPr>
          <w:rFonts w:asciiTheme="majorBidi" w:hAnsiTheme="majorBidi" w:cstheme="majorBidi"/>
          <w:sz w:val="24"/>
          <w:szCs w:val="24"/>
        </w:rPr>
        <w:t xml:space="preserve">Dans la circulation générale, le médicament peut se lier aux protéines plasmatiques, présentes en grande quantité, pour former des complexes. Il s’agit le plus </w:t>
      </w:r>
      <w:r w:rsidR="00CC1CEB" w:rsidRPr="00CC1CEB">
        <w:rPr>
          <w:rFonts w:asciiTheme="majorBidi" w:hAnsiTheme="majorBidi" w:cstheme="majorBidi"/>
          <w:sz w:val="24"/>
          <w:szCs w:val="24"/>
        </w:rPr>
        <w:t>souvent</w:t>
      </w:r>
      <w:r w:rsidRPr="00CC1CEB">
        <w:rPr>
          <w:rFonts w:asciiTheme="majorBidi" w:hAnsiTheme="majorBidi" w:cstheme="majorBidi"/>
          <w:sz w:val="24"/>
          <w:szCs w:val="24"/>
        </w:rPr>
        <w:t xml:space="preserve"> d’une liaison réversible:</w:t>
      </w:r>
    </w:p>
    <w:p w:rsidR="007F022B" w:rsidRPr="00CC1CEB" w:rsidRDefault="007F022B" w:rsidP="00CC1CEB">
      <w:pPr>
        <w:autoSpaceDE w:val="0"/>
        <w:autoSpaceDN w:val="0"/>
        <w:adjustRightInd w:val="0"/>
        <w:spacing w:after="0" w:line="360" w:lineRule="auto"/>
        <w:jc w:val="center"/>
        <w:rPr>
          <w:rFonts w:asciiTheme="majorBidi" w:hAnsiTheme="majorBidi" w:cstheme="majorBidi"/>
          <w:sz w:val="24"/>
          <w:szCs w:val="24"/>
        </w:rPr>
      </w:pPr>
      <w:r w:rsidRPr="00CC1CEB">
        <w:rPr>
          <w:rFonts w:asciiTheme="majorBidi" w:hAnsiTheme="majorBidi" w:cstheme="majorBidi"/>
          <w:sz w:val="24"/>
          <w:szCs w:val="24"/>
        </w:rPr>
        <w:t xml:space="preserve">Médicament libre + Protéine libre </w:t>
      </w:r>
      <w:r w:rsidRPr="00CC1CEB">
        <w:rPr>
          <w:rFonts w:ascii="Cambria Math" w:eastAsia="SymbolMT" w:hAnsi="Cambria Math" w:cs="Cambria Math"/>
          <w:sz w:val="24"/>
          <w:szCs w:val="24"/>
        </w:rPr>
        <w:t>⇔</w:t>
      </w:r>
      <w:r w:rsidRPr="00CC1CEB">
        <w:rPr>
          <w:rFonts w:asciiTheme="majorBidi" w:eastAsia="SymbolMT" w:hAnsiTheme="majorBidi" w:cstheme="majorBidi"/>
          <w:sz w:val="24"/>
          <w:szCs w:val="24"/>
        </w:rPr>
        <w:t xml:space="preserve"> </w:t>
      </w:r>
      <w:r w:rsidRPr="00CC1CEB">
        <w:rPr>
          <w:rFonts w:asciiTheme="majorBidi" w:hAnsiTheme="majorBidi" w:cstheme="majorBidi"/>
          <w:sz w:val="24"/>
          <w:szCs w:val="24"/>
        </w:rPr>
        <w:t>Complexe médicament-protéine</w:t>
      </w:r>
    </w:p>
    <w:p w:rsidR="000D62FF" w:rsidRPr="007C2030" w:rsidRDefault="000D62FF" w:rsidP="006C310C">
      <w:pPr>
        <w:autoSpaceDE w:val="0"/>
        <w:autoSpaceDN w:val="0"/>
        <w:adjustRightInd w:val="0"/>
        <w:spacing w:after="0" w:line="360" w:lineRule="auto"/>
        <w:ind w:firstLine="567"/>
        <w:jc w:val="both"/>
        <w:rPr>
          <w:rFonts w:asciiTheme="majorBidi" w:hAnsiTheme="majorBidi" w:cstheme="majorBidi"/>
          <w:sz w:val="24"/>
          <w:szCs w:val="24"/>
        </w:rPr>
      </w:pPr>
      <w:r w:rsidRPr="007C2030">
        <w:rPr>
          <w:rFonts w:asciiTheme="majorBidi" w:hAnsiTheme="majorBidi" w:cstheme="majorBidi"/>
          <w:sz w:val="24"/>
          <w:szCs w:val="24"/>
        </w:rPr>
        <w:t xml:space="preserve">Seule la forme libre du médicament est active </w:t>
      </w:r>
      <w:proofErr w:type="spellStart"/>
      <w:r w:rsidRPr="007C2030">
        <w:rPr>
          <w:rFonts w:asciiTheme="majorBidi" w:hAnsiTheme="majorBidi" w:cstheme="majorBidi"/>
          <w:sz w:val="24"/>
          <w:szCs w:val="24"/>
        </w:rPr>
        <w:t>pharmacologiquement</w:t>
      </w:r>
      <w:proofErr w:type="spellEnd"/>
      <w:r w:rsidRPr="007C2030">
        <w:rPr>
          <w:rFonts w:asciiTheme="majorBidi" w:hAnsiTheme="majorBidi" w:cstheme="majorBidi"/>
          <w:sz w:val="24"/>
          <w:szCs w:val="24"/>
        </w:rPr>
        <w:t>. La forme liée est inactive</w:t>
      </w:r>
      <w:r>
        <w:rPr>
          <w:rFonts w:asciiTheme="majorBidi" w:hAnsiTheme="majorBidi" w:cstheme="majorBidi"/>
          <w:sz w:val="24"/>
          <w:szCs w:val="24"/>
        </w:rPr>
        <w:t xml:space="preserve"> </w:t>
      </w:r>
      <w:proofErr w:type="spellStart"/>
      <w:r w:rsidRPr="007C2030">
        <w:rPr>
          <w:rFonts w:asciiTheme="majorBidi" w:hAnsiTheme="majorBidi" w:cstheme="majorBidi"/>
          <w:sz w:val="24"/>
          <w:szCs w:val="24"/>
        </w:rPr>
        <w:t>pharmacologiquement</w:t>
      </w:r>
      <w:proofErr w:type="spellEnd"/>
      <w:r w:rsidRPr="007C2030">
        <w:rPr>
          <w:rFonts w:asciiTheme="majorBidi" w:hAnsiTheme="majorBidi" w:cstheme="majorBidi"/>
          <w:sz w:val="24"/>
          <w:szCs w:val="24"/>
        </w:rPr>
        <w:t xml:space="preserve"> et ne peut diffuser pour atteindre son lieu d’action. Cette inactivité n’est que</w:t>
      </w:r>
      <w:r>
        <w:rPr>
          <w:rFonts w:asciiTheme="majorBidi" w:hAnsiTheme="majorBidi" w:cstheme="majorBidi"/>
          <w:sz w:val="24"/>
          <w:szCs w:val="24"/>
        </w:rPr>
        <w:t xml:space="preserve"> </w:t>
      </w:r>
      <w:r w:rsidRPr="007C2030">
        <w:rPr>
          <w:rFonts w:asciiTheme="majorBidi" w:hAnsiTheme="majorBidi" w:cstheme="majorBidi"/>
          <w:sz w:val="24"/>
          <w:szCs w:val="24"/>
        </w:rPr>
        <w:t>temporaire car les formes liée et libre sont en équilibre réversible. Au fur et à mesure de la disparition</w:t>
      </w:r>
      <w:r>
        <w:rPr>
          <w:rFonts w:asciiTheme="majorBidi" w:hAnsiTheme="majorBidi" w:cstheme="majorBidi"/>
          <w:sz w:val="24"/>
          <w:szCs w:val="24"/>
        </w:rPr>
        <w:t xml:space="preserve"> </w:t>
      </w:r>
      <w:r w:rsidRPr="007C2030">
        <w:rPr>
          <w:rFonts w:asciiTheme="majorBidi" w:hAnsiTheme="majorBidi" w:cstheme="majorBidi"/>
          <w:sz w:val="24"/>
          <w:szCs w:val="24"/>
        </w:rPr>
        <w:t>de la forme libre (par diffusion vers les tissus ou élimination), il y a passage de la forme liée vers la</w:t>
      </w:r>
      <w:r>
        <w:rPr>
          <w:rFonts w:asciiTheme="majorBidi" w:hAnsiTheme="majorBidi" w:cstheme="majorBidi"/>
          <w:sz w:val="24"/>
          <w:szCs w:val="24"/>
        </w:rPr>
        <w:t xml:space="preserve"> </w:t>
      </w:r>
      <w:r w:rsidRPr="007C2030">
        <w:rPr>
          <w:rFonts w:asciiTheme="majorBidi" w:hAnsiTheme="majorBidi" w:cstheme="majorBidi"/>
          <w:sz w:val="24"/>
          <w:szCs w:val="24"/>
        </w:rPr>
        <w:t>forme libre.</w:t>
      </w:r>
    </w:p>
    <w:p w:rsidR="000D62FF" w:rsidRPr="00CC1CEB" w:rsidRDefault="000D62FF" w:rsidP="006C310C">
      <w:pPr>
        <w:autoSpaceDE w:val="0"/>
        <w:autoSpaceDN w:val="0"/>
        <w:adjustRightInd w:val="0"/>
        <w:spacing w:after="0" w:line="360" w:lineRule="auto"/>
        <w:ind w:firstLine="567"/>
        <w:jc w:val="both"/>
        <w:rPr>
          <w:rFonts w:asciiTheme="majorBidi" w:hAnsiTheme="majorBidi" w:cstheme="majorBidi"/>
          <w:sz w:val="24"/>
          <w:szCs w:val="24"/>
        </w:rPr>
      </w:pPr>
      <w:r w:rsidRPr="007C2030">
        <w:rPr>
          <w:rFonts w:asciiTheme="majorBidi" w:hAnsiTheme="majorBidi" w:cstheme="majorBidi"/>
          <w:sz w:val="24"/>
          <w:szCs w:val="24"/>
        </w:rPr>
        <w:t>L’albumine et l’</w:t>
      </w:r>
      <w:r>
        <w:rPr>
          <w:rFonts w:asciiTheme="majorBidi" w:hAnsiTheme="majorBidi" w:cstheme="majorBidi"/>
          <w:sz w:val="24"/>
          <w:szCs w:val="24"/>
        </w:rPr>
        <w:t>a</w:t>
      </w:r>
      <w:r w:rsidRPr="000D62FF">
        <w:rPr>
          <w:rFonts w:asciiTheme="majorBidi" w:hAnsiTheme="majorBidi" w:cstheme="majorBidi"/>
          <w:sz w:val="24"/>
          <w:szCs w:val="24"/>
        </w:rPr>
        <w:t xml:space="preserve">lpha1 glycoprotéine acide </w:t>
      </w:r>
      <w:r w:rsidRPr="007C2030">
        <w:rPr>
          <w:rFonts w:asciiTheme="majorBidi" w:hAnsiTheme="majorBidi" w:cstheme="majorBidi"/>
          <w:sz w:val="24"/>
          <w:szCs w:val="24"/>
        </w:rPr>
        <w:t>sont les deux principales protéines impliquées dans la fixation</w:t>
      </w:r>
      <w:r>
        <w:rPr>
          <w:rFonts w:asciiTheme="majorBidi" w:hAnsiTheme="majorBidi" w:cstheme="majorBidi"/>
          <w:sz w:val="24"/>
          <w:szCs w:val="24"/>
        </w:rPr>
        <w:t xml:space="preserve"> </w:t>
      </w:r>
      <w:r w:rsidRPr="007C2030">
        <w:rPr>
          <w:rFonts w:asciiTheme="majorBidi" w:hAnsiTheme="majorBidi" w:cstheme="majorBidi"/>
          <w:sz w:val="24"/>
          <w:szCs w:val="24"/>
        </w:rPr>
        <w:t>des médicaments.</w:t>
      </w:r>
    </w:p>
    <w:p w:rsidR="004C01AE" w:rsidRPr="00C23C30" w:rsidRDefault="00AC47C8" w:rsidP="00C23C30">
      <w:pPr>
        <w:pStyle w:val="Paragraphedeliste"/>
        <w:numPr>
          <w:ilvl w:val="1"/>
          <w:numId w:val="1"/>
        </w:num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 </w:t>
      </w:r>
      <w:r w:rsidR="004C01AE" w:rsidRPr="00C23C30">
        <w:rPr>
          <w:rFonts w:asciiTheme="majorBidi" w:hAnsiTheme="majorBidi" w:cstheme="majorBidi"/>
          <w:b/>
          <w:bCs/>
          <w:sz w:val="24"/>
          <w:szCs w:val="24"/>
        </w:rPr>
        <w:t>Diffusion tissulaire</w:t>
      </w:r>
    </w:p>
    <w:p w:rsidR="004C01AE" w:rsidRDefault="004C01AE" w:rsidP="00AC47C8">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Généralement, la distribution se fait dans l’espace extracellulaire. Pour diffuser les médicaments doivent passer les membranes tissulaires. Dans certains tissus (foie…), la paroi vasculaire est composée de capillaires discontinus permettant une diffusion facile du médicament. A l’opposé dans d’autres organes (cerveau et barrière hémato-encéphalique…) la paroi vasculaire est composée de capillaires continus difficilement franchissable</w:t>
      </w:r>
      <w:r w:rsidR="0050776C">
        <w:rPr>
          <w:rFonts w:ascii="Times New Roman" w:hAnsi="Times New Roman" w:cs="Times New Roman"/>
          <w:sz w:val="24"/>
          <w:szCs w:val="24"/>
        </w:rPr>
        <w:t>s</w:t>
      </w:r>
      <w:r>
        <w:rPr>
          <w:rFonts w:ascii="Times New Roman" w:hAnsi="Times New Roman" w:cs="Times New Roman"/>
          <w:sz w:val="24"/>
          <w:szCs w:val="24"/>
        </w:rPr>
        <w:t>.</w:t>
      </w:r>
    </w:p>
    <w:p w:rsidR="004C01AE" w:rsidRDefault="004C01AE" w:rsidP="00AC47C8">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Les mécanismes du passage </w:t>
      </w:r>
      <w:proofErr w:type="spellStart"/>
      <w:r>
        <w:rPr>
          <w:rFonts w:ascii="Times New Roman" w:hAnsi="Times New Roman" w:cs="Times New Roman"/>
          <w:sz w:val="24"/>
          <w:szCs w:val="24"/>
        </w:rPr>
        <w:t>trans-membranaire</w:t>
      </w:r>
      <w:proofErr w:type="spellEnd"/>
      <w:r>
        <w:rPr>
          <w:rFonts w:ascii="Times New Roman" w:hAnsi="Times New Roman" w:cs="Times New Roman"/>
          <w:sz w:val="24"/>
          <w:szCs w:val="24"/>
        </w:rPr>
        <w:t xml:space="preserve"> du médicament sont identiques à ceux exp</w:t>
      </w:r>
      <w:r w:rsidR="0042509F">
        <w:rPr>
          <w:rFonts w:ascii="Times New Roman" w:hAnsi="Times New Roman" w:cs="Times New Roman"/>
          <w:sz w:val="24"/>
          <w:szCs w:val="24"/>
        </w:rPr>
        <w:t>osés pour l’absorption</w:t>
      </w:r>
      <w:r>
        <w:rPr>
          <w:rFonts w:ascii="Times New Roman" w:hAnsi="Times New Roman" w:cs="Times New Roman"/>
          <w:sz w:val="24"/>
          <w:szCs w:val="24"/>
        </w:rPr>
        <w:t>.</w:t>
      </w:r>
    </w:p>
    <w:p w:rsidR="004C01AE" w:rsidRDefault="004C01AE" w:rsidP="00AC47C8">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La diffusion tissulaire est donc dépendante de</w:t>
      </w:r>
      <w:r w:rsidR="00AC47C8">
        <w:rPr>
          <w:rFonts w:ascii="Times New Roman" w:hAnsi="Times New Roman" w:cs="Times New Roman"/>
          <w:sz w:val="24"/>
          <w:szCs w:val="24"/>
        </w:rPr>
        <w:t> :</w:t>
      </w:r>
    </w:p>
    <w:p w:rsidR="004C01AE" w:rsidRDefault="004C01AE" w:rsidP="00C23C3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Caractéristiques physico-chim</w:t>
      </w:r>
      <w:r w:rsidR="0042509F">
        <w:rPr>
          <w:rFonts w:ascii="Times New Roman" w:hAnsi="Times New Roman" w:cs="Times New Roman"/>
          <w:sz w:val="24"/>
          <w:szCs w:val="24"/>
        </w:rPr>
        <w:t>iques du médicament</w:t>
      </w:r>
      <w:r w:rsidR="00413313">
        <w:rPr>
          <w:rFonts w:ascii="Times New Roman" w:hAnsi="Times New Roman" w:cs="Times New Roman"/>
          <w:sz w:val="24"/>
          <w:szCs w:val="24"/>
        </w:rPr>
        <w:t> ;</w:t>
      </w:r>
      <w:r w:rsidR="0042509F">
        <w:rPr>
          <w:rFonts w:ascii="Times New Roman" w:hAnsi="Times New Roman" w:cs="Times New Roman"/>
          <w:sz w:val="24"/>
          <w:szCs w:val="24"/>
        </w:rPr>
        <w:t xml:space="preserve"> </w:t>
      </w:r>
    </w:p>
    <w:p w:rsidR="004C01AE" w:rsidRDefault="004C01AE" w:rsidP="00C23C3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Capacité du médicament à franchir les parois vasculaires et cellulaires</w:t>
      </w:r>
      <w:r w:rsidR="00413313">
        <w:rPr>
          <w:rFonts w:ascii="Times New Roman" w:hAnsi="Times New Roman" w:cs="Times New Roman"/>
          <w:sz w:val="24"/>
          <w:szCs w:val="24"/>
        </w:rPr>
        <w:t> ;</w:t>
      </w:r>
    </w:p>
    <w:p w:rsidR="004C01AE" w:rsidRDefault="004C01AE" w:rsidP="00C23C3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La fixation protéique (sanguine et tissulaire)</w:t>
      </w:r>
      <w:r w:rsidR="00413313">
        <w:rPr>
          <w:rFonts w:ascii="Times New Roman" w:hAnsi="Times New Roman" w:cs="Times New Roman"/>
          <w:sz w:val="24"/>
          <w:szCs w:val="24"/>
        </w:rPr>
        <w:t> ;</w:t>
      </w:r>
    </w:p>
    <w:p w:rsidR="003904F8" w:rsidRDefault="004C01AE" w:rsidP="00C23C3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Le débit sanguin tissulaire (très élevé pour le foie et le rein, faible pour l’os et la peau…)</w:t>
      </w:r>
      <w:r w:rsidR="00413313">
        <w:rPr>
          <w:rFonts w:ascii="Times New Roman" w:hAnsi="Times New Roman" w:cs="Times New Roman"/>
          <w:sz w:val="24"/>
          <w:szCs w:val="24"/>
        </w:rPr>
        <w:t>.</w:t>
      </w:r>
    </w:p>
    <w:p w:rsidR="005F3B13" w:rsidRPr="00C23C30" w:rsidRDefault="005F3B13" w:rsidP="00C23C30">
      <w:pPr>
        <w:pStyle w:val="Paragraphedeliste"/>
        <w:numPr>
          <w:ilvl w:val="1"/>
          <w:numId w:val="1"/>
        </w:numPr>
        <w:autoSpaceDE w:val="0"/>
        <w:autoSpaceDN w:val="0"/>
        <w:adjustRightInd w:val="0"/>
        <w:spacing w:after="0" w:line="360" w:lineRule="auto"/>
        <w:jc w:val="both"/>
        <w:rPr>
          <w:rFonts w:asciiTheme="majorBidi" w:hAnsiTheme="majorBidi" w:cstheme="majorBidi"/>
          <w:b/>
          <w:bCs/>
          <w:sz w:val="24"/>
          <w:szCs w:val="24"/>
        </w:rPr>
      </w:pPr>
      <w:r w:rsidRPr="00C23C30">
        <w:rPr>
          <w:rFonts w:asciiTheme="majorBidi" w:hAnsiTheme="majorBidi" w:cstheme="majorBidi"/>
          <w:b/>
          <w:bCs/>
          <w:sz w:val="24"/>
          <w:szCs w:val="24"/>
        </w:rPr>
        <w:lastRenderedPageBreak/>
        <w:t>Volume apparent de distribution</w:t>
      </w:r>
    </w:p>
    <w:p w:rsidR="005F3B13" w:rsidRPr="00C23C30" w:rsidRDefault="005F3B13" w:rsidP="00D72C8F">
      <w:pPr>
        <w:autoSpaceDE w:val="0"/>
        <w:autoSpaceDN w:val="0"/>
        <w:adjustRightInd w:val="0"/>
        <w:spacing w:after="0" w:line="360" w:lineRule="auto"/>
        <w:ind w:firstLine="567"/>
        <w:jc w:val="both"/>
        <w:rPr>
          <w:rFonts w:asciiTheme="majorBidi" w:hAnsiTheme="majorBidi" w:cstheme="majorBidi"/>
          <w:sz w:val="24"/>
          <w:szCs w:val="24"/>
        </w:rPr>
      </w:pPr>
      <w:r w:rsidRPr="00C23C30">
        <w:rPr>
          <w:rFonts w:asciiTheme="majorBidi" w:hAnsiTheme="majorBidi" w:cstheme="majorBidi"/>
          <w:sz w:val="24"/>
          <w:szCs w:val="24"/>
        </w:rPr>
        <w:t>Il est difficile de quantifier la distribution d’un médicament compte-tenu de l’impossibilité de mesurer les concentrations tissulaires, seul le secteur plasmatique étant facilement accessible.</w:t>
      </w:r>
    </w:p>
    <w:p w:rsidR="005F3B13" w:rsidRPr="00C23C30" w:rsidRDefault="005F3B13" w:rsidP="00875152">
      <w:pPr>
        <w:autoSpaceDE w:val="0"/>
        <w:autoSpaceDN w:val="0"/>
        <w:adjustRightInd w:val="0"/>
        <w:spacing w:after="0" w:line="360" w:lineRule="auto"/>
        <w:ind w:firstLine="567"/>
        <w:jc w:val="both"/>
        <w:rPr>
          <w:rFonts w:asciiTheme="majorBidi" w:hAnsiTheme="majorBidi" w:cstheme="majorBidi"/>
          <w:sz w:val="24"/>
          <w:szCs w:val="24"/>
        </w:rPr>
      </w:pPr>
      <w:r w:rsidRPr="00C23C30">
        <w:rPr>
          <w:rFonts w:asciiTheme="majorBidi" w:hAnsiTheme="majorBidi" w:cstheme="majorBidi"/>
          <w:sz w:val="24"/>
          <w:szCs w:val="24"/>
        </w:rPr>
        <w:t xml:space="preserve">La relation entre la quantité totale de médicament présente dans l’organisme et la concentration observée au niveau plasmatique s’exprime par le </w:t>
      </w:r>
      <w:r w:rsidRPr="00C23C30">
        <w:rPr>
          <w:rFonts w:asciiTheme="majorBidi" w:hAnsiTheme="majorBidi" w:cstheme="majorBidi"/>
          <w:b/>
          <w:bCs/>
          <w:sz w:val="24"/>
          <w:szCs w:val="24"/>
        </w:rPr>
        <w:t>Volume de distribution</w:t>
      </w:r>
      <w:r w:rsidRPr="00C23C30">
        <w:rPr>
          <w:rFonts w:asciiTheme="majorBidi" w:hAnsiTheme="majorBidi" w:cstheme="majorBidi"/>
          <w:sz w:val="24"/>
          <w:szCs w:val="24"/>
        </w:rPr>
        <w:t>. Connaissant la dose administrée (</w:t>
      </w:r>
      <w:r w:rsidRPr="00C23C30">
        <w:rPr>
          <w:rFonts w:asciiTheme="majorBidi" w:hAnsiTheme="majorBidi" w:cstheme="majorBidi"/>
          <w:i/>
          <w:iCs/>
          <w:sz w:val="24"/>
          <w:szCs w:val="24"/>
        </w:rPr>
        <w:t>D</w:t>
      </w:r>
      <w:r w:rsidRPr="00C23C30">
        <w:rPr>
          <w:rFonts w:asciiTheme="majorBidi" w:hAnsiTheme="majorBidi" w:cstheme="majorBidi"/>
          <w:sz w:val="24"/>
          <w:szCs w:val="24"/>
        </w:rPr>
        <w:t xml:space="preserve">) </w:t>
      </w:r>
      <w:r w:rsidR="001A5928">
        <w:rPr>
          <w:rFonts w:asciiTheme="majorBidi" w:hAnsiTheme="majorBidi" w:cstheme="majorBidi"/>
          <w:sz w:val="24"/>
          <w:szCs w:val="24"/>
        </w:rPr>
        <w:t>et la concentration plasmatique</w:t>
      </w:r>
      <w:r w:rsidRPr="00C23C30">
        <w:rPr>
          <w:rFonts w:asciiTheme="majorBidi" w:hAnsiTheme="majorBidi" w:cstheme="majorBidi"/>
          <w:color w:val="FF0000"/>
          <w:sz w:val="24"/>
          <w:szCs w:val="24"/>
        </w:rPr>
        <w:t xml:space="preserve"> </w:t>
      </w:r>
      <w:r w:rsidRPr="00C23C30">
        <w:rPr>
          <w:rFonts w:asciiTheme="majorBidi" w:hAnsiTheme="majorBidi" w:cstheme="majorBidi"/>
          <w:sz w:val="24"/>
          <w:szCs w:val="24"/>
        </w:rPr>
        <w:t xml:space="preserve">extrapolée à l’origine </w:t>
      </w:r>
      <w:r w:rsidRPr="00C23C30">
        <w:rPr>
          <w:rFonts w:asciiTheme="majorBidi" w:hAnsiTheme="majorBidi" w:cstheme="majorBidi"/>
          <w:i/>
          <w:iCs/>
          <w:sz w:val="24"/>
          <w:szCs w:val="24"/>
        </w:rPr>
        <w:t xml:space="preserve">Co </w:t>
      </w:r>
      <w:r w:rsidRPr="00C23C30">
        <w:rPr>
          <w:rFonts w:asciiTheme="majorBidi" w:hAnsiTheme="majorBidi" w:cstheme="majorBidi"/>
          <w:sz w:val="24"/>
          <w:szCs w:val="24"/>
        </w:rPr>
        <w:t>après injection intraveineuse, il est en effet simple de calculer ce Volume de distribution</w:t>
      </w:r>
    </w:p>
    <w:p w:rsidR="005F3B13" w:rsidRPr="00C23C30" w:rsidRDefault="005F3B13" w:rsidP="006F4EE8">
      <w:pPr>
        <w:autoSpaceDE w:val="0"/>
        <w:autoSpaceDN w:val="0"/>
        <w:adjustRightInd w:val="0"/>
        <w:spacing w:after="0" w:line="360" w:lineRule="auto"/>
        <w:jc w:val="center"/>
        <w:rPr>
          <w:rFonts w:asciiTheme="majorBidi" w:hAnsiTheme="majorBidi" w:cstheme="majorBidi"/>
          <w:sz w:val="24"/>
          <w:szCs w:val="24"/>
        </w:rPr>
      </w:pPr>
      <w:r w:rsidRPr="00C23C30">
        <w:rPr>
          <w:rFonts w:asciiTheme="majorBidi" w:hAnsiTheme="majorBidi" w:cstheme="majorBidi"/>
          <w:noProof/>
          <w:sz w:val="24"/>
          <w:szCs w:val="24"/>
          <w:lang w:eastAsia="fr-FR"/>
        </w:rPr>
        <w:drawing>
          <wp:inline distT="0" distB="0" distL="0" distR="0" wp14:anchorId="1A1F4D16" wp14:editId="3DDD0CD9">
            <wp:extent cx="752475" cy="41910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rsidR="005F3B13" w:rsidRPr="006F4EE8" w:rsidRDefault="005F3B13" w:rsidP="00582C5E">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Il est de loin préférable d’utiliser la relation qui existe entre la clairance et la constante d’élimination </w:t>
      </w:r>
      <w:r w:rsidRPr="005F3B13">
        <w:rPr>
          <w:rFonts w:ascii="Times New Roman" w:hAnsi="Times New Roman" w:cs="Times New Roman"/>
          <w:i/>
          <w:iCs/>
          <w:sz w:val="24"/>
          <w:szCs w:val="24"/>
        </w:rPr>
        <w:t>k</w:t>
      </w:r>
      <w:r w:rsidRPr="005F3B13">
        <w:rPr>
          <w:rFonts w:ascii="Times New Roman" w:hAnsi="Times New Roman" w:cs="Times New Roman"/>
          <w:sz w:val="24"/>
          <w:szCs w:val="24"/>
        </w:rPr>
        <w:t>.</w:t>
      </w:r>
    </w:p>
    <w:p w:rsidR="00432F3A" w:rsidRPr="000303DF" w:rsidRDefault="005F3B13" w:rsidP="000303DF">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14:anchorId="4C599C11" wp14:editId="24C514DD">
            <wp:extent cx="2466975" cy="51435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6975" cy="514350"/>
                    </a:xfrm>
                    <a:prstGeom prst="rect">
                      <a:avLst/>
                    </a:prstGeom>
                    <a:noFill/>
                    <a:ln>
                      <a:noFill/>
                    </a:ln>
                  </pic:spPr>
                </pic:pic>
              </a:graphicData>
            </a:graphic>
          </wp:inline>
        </w:drawing>
      </w:r>
    </w:p>
    <w:p w:rsidR="00326528" w:rsidRPr="00432F3A" w:rsidRDefault="00326528" w:rsidP="00432F3A">
      <w:pPr>
        <w:pStyle w:val="Paragraphedeliste"/>
        <w:numPr>
          <w:ilvl w:val="0"/>
          <w:numId w:val="1"/>
        </w:numPr>
        <w:autoSpaceDE w:val="0"/>
        <w:autoSpaceDN w:val="0"/>
        <w:adjustRightInd w:val="0"/>
        <w:spacing w:after="0" w:line="360" w:lineRule="auto"/>
        <w:jc w:val="both"/>
        <w:rPr>
          <w:rFonts w:asciiTheme="majorBidi" w:hAnsiTheme="majorBidi" w:cstheme="majorBidi"/>
          <w:b/>
          <w:bCs/>
          <w:sz w:val="24"/>
          <w:szCs w:val="24"/>
        </w:rPr>
      </w:pPr>
      <w:r w:rsidRPr="00432F3A">
        <w:rPr>
          <w:rFonts w:asciiTheme="majorBidi" w:hAnsiTheme="majorBidi" w:cstheme="majorBidi"/>
          <w:b/>
          <w:bCs/>
          <w:sz w:val="24"/>
          <w:szCs w:val="24"/>
        </w:rPr>
        <w:t>Métabolisme et élimination des médicaments</w:t>
      </w:r>
    </w:p>
    <w:p w:rsidR="004B4BBB" w:rsidRDefault="00326528" w:rsidP="00582C5E">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L’élimination des médicaments de l’organisme résulte de l’addition de plusieurs processus. Elle comprend la capacité métabolique de différents organes, en premier lieu le foie et l’excrétion sous toutes ses formes, en particulier rénale (urine) mais aussi hépatique (bile).</w:t>
      </w:r>
    </w:p>
    <w:p w:rsidR="00846286" w:rsidRPr="0053456B" w:rsidRDefault="003162E1" w:rsidP="0053456B">
      <w:pPr>
        <w:pStyle w:val="Paragraphedeliste"/>
        <w:numPr>
          <w:ilvl w:val="1"/>
          <w:numId w:val="1"/>
        </w:numPr>
        <w:autoSpaceDE w:val="0"/>
        <w:autoSpaceDN w:val="0"/>
        <w:adjustRightInd w:val="0"/>
        <w:spacing w:after="0" w:line="360" w:lineRule="auto"/>
        <w:jc w:val="both"/>
        <w:rPr>
          <w:rFonts w:ascii="Times New Roman" w:hAnsi="Times New Roman" w:cs="Times New Roman"/>
          <w:sz w:val="24"/>
          <w:szCs w:val="24"/>
        </w:rPr>
      </w:pPr>
      <w:r>
        <w:rPr>
          <w:rFonts w:asciiTheme="majorBidi" w:hAnsiTheme="majorBidi" w:cstheme="majorBidi"/>
          <w:b/>
          <w:bCs/>
          <w:sz w:val="24"/>
          <w:szCs w:val="24"/>
        </w:rPr>
        <w:t xml:space="preserve"> </w:t>
      </w:r>
      <w:r w:rsidR="00846286" w:rsidRPr="0053456B">
        <w:rPr>
          <w:rFonts w:asciiTheme="majorBidi" w:hAnsiTheme="majorBidi" w:cstheme="majorBidi"/>
          <w:b/>
          <w:bCs/>
          <w:sz w:val="24"/>
          <w:szCs w:val="24"/>
        </w:rPr>
        <w:t>Biotransformations</w:t>
      </w:r>
    </w:p>
    <w:p w:rsidR="00BC68BC" w:rsidRDefault="00846286" w:rsidP="00470252">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Le terme de métabolisme fait référence à la transformation, par une réaction enzymatique d’un m</w:t>
      </w:r>
      <w:r w:rsidR="000303DF">
        <w:rPr>
          <w:rFonts w:ascii="Times New Roman" w:hAnsi="Times New Roman" w:cs="Times New Roman"/>
          <w:sz w:val="24"/>
          <w:szCs w:val="24"/>
        </w:rPr>
        <w:t>édicament</w:t>
      </w:r>
      <w:r w:rsidR="00BC68BC" w:rsidRPr="00BC68BC">
        <w:t xml:space="preserve"> </w:t>
      </w:r>
      <w:r w:rsidR="00BC68BC" w:rsidRPr="00BC68BC">
        <w:rPr>
          <w:rFonts w:ascii="Times New Roman" w:hAnsi="Times New Roman" w:cs="Times New Roman"/>
          <w:sz w:val="24"/>
          <w:szCs w:val="24"/>
        </w:rPr>
        <w:t>en un ou plusieurs composés, dits métabolites qui peuvent être actif</w:t>
      </w:r>
      <w:r w:rsidR="008B0F6C">
        <w:rPr>
          <w:rFonts w:ascii="Times New Roman" w:hAnsi="Times New Roman" w:cs="Times New Roman"/>
          <w:sz w:val="24"/>
          <w:szCs w:val="24"/>
        </w:rPr>
        <w:t xml:space="preserve">s </w:t>
      </w:r>
      <w:proofErr w:type="spellStart"/>
      <w:r w:rsidR="008B0F6C">
        <w:rPr>
          <w:rFonts w:ascii="Times New Roman" w:hAnsi="Times New Roman" w:cs="Times New Roman"/>
          <w:sz w:val="24"/>
          <w:szCs w:val="24"/>
        </w:rPr>
        <w:t>pharmacologiquement</w:t>
      </w:r>
      <w:proofErr w:type="spellEnd"/>
      <w:r w:rsidR="008B0F6C">
        <w:rPr>
          <w:rFonts w:ascii="Times New Roman" w:hAnsi="Times New Roman" w:cs="Times New Roman"/>
          <w:sz w:val="24"/>
          <w:szCs w:val="24"/>
        </w:rPr>
        <w:t>, inactifs</w:t>
      </w:r>
      <w:r w:rsidR="00BC68BC" w:rsidRPr="00BC68BC">
        <w:rPr>
          <w:rFonts w:ascii="Times New Roman" w:hAnsi="Times New Roman" w:cs="Times New Roman"/>
          <w:sz w:val="24"/>
          <w:szCs w:val="24"/>
        </w:rPr>
        <w:t xml:space="preserve"> ou parfois toxiques.</w:t>
      </w:r>
      <w:r w:rsidR="00BC68BC">
        <w:rPr>
          <w:rFonts w:ascii="Times New Roman" w:hAnsi="Times New Roman" w:cs="Times New Roman"/>
          <w:sz w:val="24"/>
          <w:szCs w:val="24"/>
        </w:rPr>
        <w:t xml:space="preserve"> </w:t>
      </w:r>
    </w:p>
    <w:p w:rsidR="00BC68BC" w:rsidRDefault="00BC68BC" w:rsidP="00470252">
      <w:pPr>
        <w:autoSpaceDE w:val="0"/>
        <w:autoSpaceDN w:val="0"/>
        <w:adjustRightInd w:val="0"/>
        <w:spacing w:after="0" w:line="360" w:lineRule="auto"/>
        <w:ind w:firstLine="567"/>
        <w:jc w:val="both"/>
        <w:rPr>
          <w:rFonts w:ascii="Times New Roman" w:hAnsi="Times New Roman" w:cs="Times New Roman"/>
          <w:sz w:val="24"/>
          <w:szCs w:val="24"/>
        </w:rPr>
      </w:pPr>
      <w:r w:rsidRPr="00BC68BC">
        <w:rPr>
          <w:rFonts w:ascii="Times New Roman" w:hAnsi="Times New Roman" w:cs="Times New Roman"/>
          <w:sz w:val="24"/>
          <w:szCs w:val="24"/>
        </w:rPr>
        <w:t>Le métabolisme est une des phases de l’élimination d’un médicament : les différentes étapes du métabolisme conduisent à la formation de substances hydrosolubles plus facilement éliminées par les milieux aqueux que sont les urines, la bile, la salive ou la sueur.</w:t>
      </w:r>
    </w:p>
    <w:p w:rsidR="00582C5E" w:rsidRDefault="00846286" w:rsidP="00470252">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De nombreux tissus peuvent réaliser cette transformation (peau, poumon, rein, intestin...). Néanmoins le principal site de biotransformation est situé au niveau hépati</w:t>
      </w:r>
      <w:r w:rsidR="00BC68BC">
        <w:rPr>
          <w:rFonts w:ascii="Times New Roman" w:hAnsi="Times New Roman" w:cs="Times New Roman"/>
          <w:sz w:val="24"/>
          <w:szCs w:val="24"/>
        </w:rPr>
        <w:t xml:space="preserve">que. </w:t>
      </w:r>
      <w:r>
        <w:rPr>
          <w:rFonts w:ascii="Times New Roman" w:hAnsi="Times New Roman" w:cs="Times New Roman"/>
          <w:sz w:val="24"/>
          <w:szCs w:val="24"/>
        </w:rPr>
        <w:t>Ceci est expliqué par le flux sanguin très important du foie, organe épurateur, par rapport aux autres organes : il reçoit enviro</w:t>
      </w:r>
      <w:r w:rsidR="009B2A65">
        <w:rPr>
          <w:rFonts w:ascii="Times New Roman" w:hAnsi="Times New Roman" w:cs="Times New Roman"/>
          <w:sz w:val="24"/>
          <w:szCs w:val="24"/>
        </w:rPr>
        <w:t xml:space="preserve">n 1,5 litres de sang par minute. </w:t>
      </w:r>
      <w:r>
        <w:rPr>
          <w:rFonts w:ascii="Times New Roman" w:hAnsi="Times New Roman" w:cs="Times New Roman"/>
          <w:sz w:val="24"/>
          <w:szCs w:val="24"/>
        </w:rPr>
        <w:t>Les hépatocytes contiennent un grand nombre d’enzymes impliquées dans la transformation des médicaments, en particulier les réactions d’oxy</w:t>
      </w:r>
      <w:r w:rsidR="00BC68BC">
        <w:rPr>
          <w:rFonts w:ascii="Times New Roman" w:hAnsi="Times New Roman" w:cs="Times New Roman"/>
          <w:sz w:val="24"/>
          <w:szCs w:val="24"/>
        </w:rPr>
        <w:t>doréduction, les hydroxylations.</w:t>
      </w:r>
    </w:p>
    <w:p w:rsidR="00127FBD" w:rsidRPr="0053456B" w:rsidRDefault="003162E1" w:rsidP="0053456B">
      <w:pPr>
        <w:pStyle w:val="Paragraphedeliste"/>
        <w:numPr>
          <w:ilvl w:val="1"/>
          <w:numId w:val="1"/>
        </w:numPr>
        <w:autoSpaceDE w:val="0"/>
        <w:autoSpaceDN w:val="0"/>
        <w:adjustRightInd w:val="0"/>
        <w:spacing w:after="0" w:line="360" w:lineRule="auto"/>
        <w:rPr>
          <w:rFonts w:asciiTheme="majorBidi" w:hAnsiTheme="majorBidi" w:cstheme="majorBidi"/>
          <w:b/>
          <w:bCs/>
          <w:sz w:val="24"/>
          <w:szCs w:val="24"/>
        </w:rPr>
      </w:pPr>
      <w:r>
        <w:rPr>
          <w:rFonts w:asciiTheme="majorBidi" w:hAnsiTheme="majorBidi" w:cstheme="majorBidi"/>
          <w:b/>
          <w:bCs/>
          <w:sz w:val="24"/>
          <w:szCs w:val="24"/>
        </w:rPr>
        <w:lastRenderedPageBreak/>
        <w:t xml:space="preserve"> </w:t>
      </w:r>
      <w:r w:rsidR="00127FBD" w:rsidRPr="0053456B">
        <w:rPr>
          <w:rFonts w:asciiTheme="majorBidi" w:hAnsiTheme="majorBidi" w:cstheme="majorBidi"/>
          <w:b/>
          <w:bCs/>
          <w:sz w:val="24"/>
          <w:szCs w:val="24"/>
        </w:rPr>
        <w:t>Elimination</w:t>
      </w:r>
    </w:p>
    <w:p w:rsidR="00127FBD" w:rsidRPr="0053456B" w:rsidRDefault="00127FBD" w:rsidP="0053456B">
      <w:pPr>
        <w:pStyle w:val="Paragraphedeliste"/>
        <w:numPr>
          <w:ilvl w:val="2"/>
          <w:numId w:val="1"/>
        </w:numPr>
        <w:autoSpaceDE w:val="0"/>
        <w:autoSpaceDN w:val="0"/>
        <w:adjustRightInd w:val="0"/>
        <w:spacing w:after="0" w:line="360" w:lineRule="auto"/>
        <w:rPr>
          <w:rFonts w:ascii="Times-Bold" w:hAnsi="Times-Bold" w:cs="Times-Bold"/>
          <w:b/>
          <w:bCs/>
          <w:sz w:val="28"/>
          <w:szCs w:val="28"/>
        </w:rPr>
      </w:pPr>
      <w:r w:rsidRPr="0053456B">
        <w:rPr>
          <w:rFonts w:asciiTheme="majorBidi" w:hAnsiTheme="majorBidi" w:cstheme="majorBidi"/>
          <w:b/>
          <w:bCs/>
          <w:sz w:val="24"/>
          <w:szCs w:val="24"/>
        </w:rPr>
        <w:t>Elimination hépatique</w:t>
      </w:r>
    </w:p>
    <w:p w:rsidR="009B2A65" w:rsidRDefault="00127FBD" w:rsidP="00470252">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Outre ses capacités métaboliques, le foie participe à l’excrétion des médicaments hors de l’organisme par le biais du système biliaire.</w:t>
      </w:r>
    </w:p>
    <w:p w:rsidR="00303B6D" w:rsidRPr="0053456B" w:rsidRDefault="00303B6D" w:rsidP="0053456B">
      <w:pPr>
        <w:pStyle w:val="Paragraphedeliste"/>
        <w:numPr>
          <w:ilvl w:val="2"/>
          <w:numId w:val="1"/>
        </w:numPr>
        <w:autoSpaceDE w:val="0"/>
        <w:autoSpaceDN w:val="0"/>
        <w:adjustRightInd w:val="0"/>
        <w:spacing w:after="0" w:line="360" w:lineRule="auto"/>
        <w:rPr>
          <w:rFonts w:ascii="Times-Bold" w:hAnsi="Times-Bold" w:cs="Times-Bold"/>
          <w:b/>
          <w:bCs/>
          <w:sz w:val="24"/>
          <w:szCs w:val="24"/>
        </w:rPr>
      </w:pPr>
      <w:r w:rsidRPr="0053456B">
        <w:rPr>
          <w:rFonts w:ascii="Times-Bold" w:hAnsi="Times-Bold" w:cs="Times-Bold"/>
          <w:b/>
          <w:bCs/>
          <w:sz w:val="24"/>
          <w:szCs w:val="24"/>
        </w:rPr>
        <w:t>Elimination rénale</w:t>
      </w:r>
    </w:p>
    <w:p w:rsidR="0053456B" w:rsidRDefault="00303B6D" w:rsidP="00470252">
      <w:pPr>
        <w:autoSpaceDE w:val="0"/>
        <w:autoSpaceDN w:val="0"/>
        <w:adjustRightInd w:val="0"/>
        <w:spacing w:after="0" w:line="360" w:lineRule="auto"/>
        <w:ind w:firstLine="567"/>
        <w:jc w:val="both"/>
        <w:rPr>
          <w:rFonts w:ascii="Times New Roman" w:hAnsi="Times New Roman" w:cs="Times New Roman"/>
          <w:sz w:val="24"/>
          <w:szCs w:val="24"/>
        </w:rPr>
      </w:pPr>
      <w:r w:rsidRPr="0053456B">
        <w:rPr>
          <w:rFonts w:ascii="Times New Roman" w:hAnsi="Times New Roman" w:cs="Times New Roman"/>
          <w:sz w:val="24"/>
          <w:szCs w:val="24"/>
        </w:rPr>
        <w:t xml:space="preserve">La plupart des molécules sont éliminées dans les urines, soit sous forme inchangée, soit sous forme de produits de dégradation. </w:t>
      </w:r>
    </w:p>
    <w:p w:rsidR="00671F9E" w:rsidRPr="0053456B" w:rsidRDefault="00671F9E" w:rsidP="0053456B">
      <w:pPr>
        <w:pStyle w:val="Paragraphedeliste"/>
        <w:numPr>
          <w:ilvl w:val="2"/>
          <w:numId w:val="1"/>
        </w:numPr>
        <w:autoSpaceDE w:val="0"/>
        <w:autoSpaceDN w:val="0"/>
        <w:adjustRightInd w:val="0"/>
        <w:spacing w:after="0" w:line="360" w:lineRule="auto"/>
        <w:jc w:val="both"/>
        <w:rPr>
          <w:rFonts w:ascii="Times New Roman" w:hAnsi="Times New Roman" w:cs="Times New Roman"/>
          <w:sz w:val="24"/>
          <w:szCs w:val="24"/>
        </w:rPr>
      </w:pPr>
      <w:r w:rsidRPr="0053456B">
        <w:rPr>
          <w:rFonts w:ascii="Times-Bold" w:hAnsi="Times-Bold" w:cs="Times-Bold"/>
          <w:b/>
          <w:bCs/>
          <w:sz w:val="24"/>
          <w:szCs w:val="24"/>
        </w:rPr>
        <w:t>Autres voies d’excrétion</w:t>
      </w:r>
    </w:p>
    <w:p w:rsidR="00671F9E" w:rsidRDefault="00671F9E" w:rsidP="00470252">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Les autres voies (salivaires, pulmonaire…) sont usuelleme</w:t>
      </w:r>
      <w:r w:rsidR="0053456B">
        <w:rPr>
          <w:rFonts w:ascii="Times New Roman" w:hAnsi="Times New Roman" w:cs="Times New Roman"/>
          <w:sz w:val="24"/>
          <w:szCs w:val="24"/>
        </w:rPr>
        <w:t xml:space="preserve">nt négligeables par rapport aux </w:t>
      </w:r>
      <w:r>
        <w:rPr>
          <w:rFonts w:ascii="Times New Roman" w:hAnsi="Times New Roman" w:cs="Times New Roman"/>
          <w:sz w:val="24"/>
          <w:szCs w:val="24"/>
        </w:rPr>
        <w:t>voies rénale  et hépatique.</w:t>
      </w:r>
    </w:p>
    <w:p w:rsidR="008C659F" w:rsidRDefault="00671F9E" w:rsidP="00470252">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Néanmoins on soulignera l’importance de la voie lactée pouvant donner des risques d’intoxications du nourrisson lors de l’allaitement.</w:t>
      </w:r>
    </w:p>
    <w:p w:rsidR="008C659F" w:rsidRPr="0053456B" w:rsidRDefault="00470252" w:rsidP="0053456B">
      <w:pPr>
        <w:pStyle w:val="Paragraphedeliste"/>
        <w:numPr>
          <w:ilvl w:val="1"/>
          <w:numId w:val="1"/>
        </w:numPr>
        <w:autoSpaceDE w:val="0"/>
        <w:autoSpaceDN w:val="0"/>
        <w:adjustRightInd w:val="0"/>
        <w:spacing w:after="0" w:line="360" w:lineRule="auto"/>
        <w:rPr>
          <w:rFonts w:asciiTheme="majorBidi" w:hAnsiTheme="majorBidi" w:cstheme="majorBidi"/>
          <w:b/>
          <w:bCs/>
          <w:sz w:val="24"/>
          <w:szCs w:val="24"/>
        </w:rPr>
      </w:pPr>
      <w:r>
        <w:rPr>
          <w:rFonts w:asciiTheme="majorBidi" w:hAnsiTheme="majorBidi" w:cstheme="majorBidi"/>
          <w:b/>
          <w:bCs/>
          <w:sz w:val="24"/>
          <w:szCs w:val="24"/>
        </w:rPr>
        <w:t xml:space="preserve"> </w:t>
      </w:r>
      <w:r w:rsidR="008C659F" w:rsidRPr="0053456B">
        <w:rPr>
          <w:rFonts w:asciiTheme="majorBidi" w:hAnsiTheme="majorBidi" w:cstheme="majorBidi"/>
          <w:b/>
          <w:bCs/>
          <w:sz w:val="24"/>
          <w:szCs w:val="24"/>
        </w:rPr>
        <w:t>Quantification du métabolisme et de l’élimination</w:t>
      </w:r>
    </w:p>
    <w:p w:rsidR="008C659F" w:rsidRPr="0053456B" w:rsidRDefault="008C659F" w:rsidP="0053456B">
      <w:pPr>
        <w:pStyle w:val="Paragraphedeliste"/>
        <w:numPr>
          <w:ilvl w:val="2"/>
          <w:numId w:val="1"/>
        </w:numPr>
        <w:autoSpaceDE w:val="0"/>
        <w:autoSpaceDN w:val="0"/>
        <w:adjustRightInd w:val="0"/>
        <w:spacing w:after="0" w:line="360" w:lineRule="auto"/>
        <w:rPr>
          <w:rFonts w:asciiTheme="majorBidi" w:hAnsiTheme="majorBidi" w:cstheme="majorBidi"/>
          <w:b/>
          <w:bCs/>
          <w:sz w:val="24"/>
          <w:szCs w:val="24"/>
        </w:rPr>
      </w:pPr>
      <w:r w:rsidRPr="0053456B">
        <w:rPr>
          <w:rFonts w:asciiTheme="majorBidi" w:hAnsiTheme="majorBidi" w:cstheme="majorBidi"/>
          <w:b/>
          <w:bCs/>
          <w:sz w:val="24"/>
          <w:szCs w:val="24"/>
        </w:rPr>
        <w:t>Notion de clairance</w:t>
      </w:r>
    </w:p>
    <w:p w:rsidR="008C659F" w:rsidRDefault="008C659F" w:rsidP="00470252">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La capacité globale de l’organisme à éliminer une molécule est la clairance, définie comme le volume de plasma totalement épuré par unité de temps.</w:t>
      </w:r>
    </w:p>
    <w:p w:rsidR="008C659F" w:rsidRDefault="008C659F" w:rsidP="00A56209">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La clairance totale est égale à la somme des clairances de chaque organe susceptible d’intervenir dans l’élimination du médicament : clairance rénale, hépatique, intestinale, pulmonaire, etc.</w:t>
      </w:r>
    </w:p>
    <w:p w:rsidR="004466A6" w:rsidRPr="006E75D1" w:rsidRDefault="004466A6" w:rsidP="006E75D1">
      <w:pPr>
        <w:pStyle w:val="Paragraphedeliste"/>
        <w:numPr>
          <w:ilvl w:val="2"/>
          <w:numId w:val="1"/>
        </w:numPr>
        <w:autoSpaceDE w:val="0"/>
        <w:autoSpaceDN w:val="0"/>
        <w:adjustRightInd w:val="0"/>
        <w:spacing w:after="0" w:line="360" w:lineRule="auto"/>
        <w:rPr>
          <w:rFonts w:asciiTheme="majorBidi" w:hAnsiTheme="majorBidi" w:cstheme="majorBidi"/>
          <w:b/>
          <w:bCs/>
          <w:sz w:val="24"/>
          <w:szCs w:val="24"/>
        </w:rPr>
      </w:pPr>
      <w:r w:rsidRPr="006E75D1">
        <w:rPr>
          <w:rFonts w:asciiTheme="majorBidi" w:hAnsiTheme="majorBidi" w:cstheme="majorBidi"/>
          <w:b/>
          <w:bCs/>
          <w:sz w:val="24"/>
          <w:szCs w:val="24"/>
        </w:rPr>
        <w:t>Clairance hépatique</w:t>
      </w:r>
    </w:p>
    <w:p w:rsidR="004466A6" w:rsidRDefault="004466A6" w:rsidP="00A56209">
      <w:pPr>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La clairance hépatique se décompose en deux :</w:t>
      </w:r>
    </w:p>
    <w:p w:rsidR="004466A6" w:rsidRDefault="004466A6" w:rsidP="006E75D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clairance métabolique</w:t>
      </w:r>
    </w:p>
    <w:p w:rsidR="004466A6" w:rsidRDefault="004466A6" w:rsidP="006E75D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clairance biliaire</w:t>
      </w:r>
    </w:p>
    <w:p w:rsidR="004466A6" w:rsidRPr="006E75D1" w:rsidRDefault="004466A6" w:rsidP="006E75D1">
      <w:pPr>
        <w:pStyle w:val="Paragraphedeliste"/>
        <w:numPr>
          <w:ilvl w:val="0"/>
          <w:numId w:val="2"/>
        </w:numPr>
        <w:autoSpaceDE w:val="0"/>
        <w:autoSpaceDN w:val="0"/>
        <w:adjustRightInd w:val="0"/>
        <w:spacing w:after="0" w:line="360" w:lineRule="auto"/>
        <w:jc w:val="lowKashida"/>
        <w:rPr>
          <w:rFonts w:ascii="Times New Roman" w:hAnsi="Times New Roman" w:cs="Times New Roman"/>
          <w:b/>
          <w:bCs/>
          <w:sz w:val="24"/>
          <w:szCs w:val="24"/>
        </w:rPr>
      </w:pPr>
      <w:r w:rsidRPr="006E75D1">
        <w:rPr>
          <w:rFonts w:ascii="Times New Roman" w:hAnsi="Times New Roman" w:cs="Times New Roman"/>
          <w:b/>
          <w:bCs/>
          <w:sz w:val="24"/>
          <w:szCs w:val="24"/>
        </w:rPr>
        <w:t>Clairance métabolique</w:t>
      </w:r>
    </w:p>
    <w:p w:rsidR="004466A6" w:rsidRPr="006E75D1" w:rsidRDefault="004466A6" w:rsidP="00A56209">
      <w:pPr>
        <w:autoSpaceDE w:val="0"/>
        <w:autoSpaceDN w:val="0"/>
        <w:adjustRightInd w:val="0"/>
        <w:spacing w:after="0" w:line="360" w:lineRule="auto"/>
        <w:ind w:firstLine="567"/>
        <w:jc w:val="both"/>
        <w:rPr>
          <w:rFonts w:ascii="Times New Roman" w:hAnsi="Times New Roman" w:cs="Times New Roman"/>
          <w:sz w:val="24"/>
          <w:szCs w:val="24"/>
        </w:rPr>
      </w:pPr>
      <w:r w:rsidRPr="006E75D1">
        <w:rPr>
          <w:rFonts w:ascii="Times New Roman" w:hAnsi="Times New Roman" w:cs="Times New Roman"/>
          <w:sz w:val="24"/>
          <w:szCs w:val="24"/>
        </w:rPr>
        <w:t>Elle dépend de la clairance intrinsèque qui est la capacité du ou des systèmes enzymatiques hépatiques à métaboliser le médicament.</w:t>
      </w:r>
    </w:p>
    <w:p w:rsidR="00D410B4" w:rsidRPr="006E75D1" w:rsidRDefault="00D410B4" w:rsidP="006E75D1">
      <w:pPr>
        <w:pStyle w:val="Paragraphedeliste"/>
        <w:numPr>
          <w:ilvl w:val="0"/>
          <w:numId w:val="2"/>
        </w:numPr>
        <w:autoSpaceDE w:val="0"/>
        <w:autoSpaceDN w:val="0"/>
        <w:adjustRightInd w:val="0"/>
        <w:spacing w:after="0" w:line="360" w:lineRule="auto"/>
        <w:jc w:val="both"/>
        <w:rPr>
          <w:rFonts w:ascii="Times New Roman" w:hAnsi="Times New Roman" w:cs="Times New Roman"/>
          <w:b/>
          <w:bCs/>
          <w:sz w:val="24"/>
          <w:szCs w:val="24"/>
        </w:rPr>
      </w:pPr>
      <w:r w:rsidRPr="006E75D1">
        <w:rPr>
          <w:rFonts w:ascii="Times New Roman" w:hAnsi="Times New Roman" w:cs="Times New Roman"/>
          <w:b/>
          <w:bCs/>
          <w:sz w:val="24"/>
          <w:szCs w:val="24"/>
        </w:rPr>
        <w:t>Clairance biliaire</w:t>
      </w:r>
    </w:p>
    <w:p w:rsidR="007C40AE" w:rsidRDefault="00D410B4" w:rsidP="00A56209">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C’est la capacité du système biliaire à éliminer le médicament. Ce système élimine princi</w:t>
      </w:r>
      <w:r w:rsidR="000229D7">
        <w:rPr>
          <w:rFonts w:ascii="Times New Roman" w:hAnsi="Times New Roman" w:cs="Times New Roman"/>
          <w:sz w:val="24"/>
          <w:szCs w:val="24"/>
        </w:rPr>
        <w:t xml:space="preserve">palement les molécules de forte masse moléculaire. </w:t>
      </w:r>
    </w:p>
    <w:p w:rsidR="00A56209" w:rsidRDefault="00A56209" w:rsidP="00A56209">
      <w:pPr>
        <w:autoSpaceDE w:val="0"/>
        <w:autoSpaceDN w:val="0"/>
        <w:adjustRightInd w:val="0"/>
        <w:spacing w:after="0" w:line="360" w:lineRule="auto"/>
        <w:ind w:firstLine="567"/>
        <w:jc w:val="both"/>
        <w:rPr>
          <w:rFonts w:ascii="Times New Roman" w:hAnsi="Times New Roman" w:cs="Times New Roman"/>
          <w:sz w:val="24"/>
          <w:szCs w:val="24"/>
        </w:rPr>
      </w:pPr>
    </w:p>
    <w:p w:rsidR="00A56209" w:rsidRDefault="00A56209" w:rsidP="00A56209">
      <w:pPr>
        <w:autoSpaceDE w:val="0"/>
        <w:autoSpaceDN w:val="0"/>
        <w:adjustRightInd w:val="0"/>
        <w:spacing w:after="0" w:line="360" w:lineRule="auto"/>
        <w:ind w:firstLine="567"/>
        <w:jc w:val="both"/>
        <w:rPr>
          <w:rFonts w:ascii="Times New Roman" w:hAnsi="Times New Roman" w:cs="Times New Roman"/>
          <w:sz w:val="24"/>
          <w:szCs w:val="24"/>
        </w:rPr>
      </w:pPr>
    </w:p>
    <w:p w:rsidR="00EF6893" w:rsidRDefault="00EF6893" w:rsidP="0021012A">
      <w:pPr>
        <w:autoSpaceDE w:val="0"/>
        <w:autoSpaceDN w:val="0"/>
        <w:adjustRightInd w:val="0"/>
        <w:spacing w:after="0" w:line="240" w:lineRule="auto"/>
        <w:jc w:val="both"/>
        <w:rPr>
          <w:rFonts w:ascii="Times New Roman" w:hAnsi="Times New Roman" w:cs="Times New Roman"/>
          <w:color w:val="FF0000"/>
          <w:sz w:val="24"/>
          <w:szCs w:val="24"/>
        </w:rPr>
      </w:pPr>
    </w:p>
    <w:p w:rsidR="00A56209" w:rsidRDefault="00A56209" w:rsidP="0021012A">
      <w:pPr>
        <w:autoSpaceDE w:val="0"/>
        <w:autoSpaceDN w:val="0"/>
        <w:adjustRightInd w:val="0"/>
        <w:spacing w:after="0" w:line="240" w:lineRule="auto"/>
        <w:jc w:val="both"/>
        <w:rPr>
          <w:rFonts w:ascii="Times New Roman" w:hAnsi="Times New Roman" w:cs="Times New Roman"/>
          <w:i/>
          <w:iCs/>
          <w:sz w:val="24"/>
          <w:szCs w:val="24"/>
        </w:rPr>
      </w:pPr>
    </w:p>
    <w:p w:rsidR="007C40AE" w:rsidRPr="00E611D5" w:rsidRDefault="007C40AE" w:rsidP="00E611D5">
      <w:pPr>
        <w:pStyle w:val="Paragraphedeliste"/>
        <w:numPr>
          <w:ilvl w:val="2"/>
          <w:numId w:val="1"/>
        </w:numPr>
        <w:spacing w:line="360" w:lineRule="auto"/>
        <w:jc w:val="both"/>
        <w:rPr>
          <w:rFonts w:ascii="Times New Roman" w:hAnsi="Times New Roman" w:cs="Times New Roman"/>
          <w:color w:val="FF0000"/>
          <w:sz w:val="24"/>
          <w:szCs w:val="24"/>
        </w:rPr>
      </w:pPr>
      <w:r w:rsidRPr="00E611D5">
        <w:rPr>
          <w:rFonts w:asciiTheme="majorBidi" w:hAnsiTheme="majorBidi" w:cstheme="majorBidi"/>
          <w:b/>
          <w:bCs/>
          <w:sz w:val="24"/>
          <w:szCs w:val="24"/>
        </w:rPr>
        <w:t>Calcul de la clairance</w:t>
      </w:r>
    </w:p>
    <w:p w:rsidR="007C40AE" w:rsidRPr="00E611D5" w:rsidRDefault="007C40AE" w:rsidP="00A56209">
      <w:pPr>
        <w:autoSpaceDE w:val="0"/>
        <w:autoSpaceDN w:val="0"/>
        <w:adjustRightInd w:val="0"/>
        <w:spacing w:after="0" w:line="360" w:lineRule="auto"/>
        <w:ind w:firstLine="567"/>
        <w:jc w:val="both"/>
        <w:rPr>
          <w:rFonts w:asciiTheme="majorBidi" w:hAnsiTheme="majorBidi" w:cstheme="majorBidi"/>
          <w:sz w:val="24"/>
          <w:szCs w:val="24"/>
        </w:rPr>
      </w:pPr>
      <w:r w:rsidRPr="00E611D5">
        <w:rPr>
          <w:rFonts w:asciiTheme="majorBidi" w:hAnsiTheme="majorBidi" w:cstheme="majorBidi"/>
          <w:sz w:val="24"/>
          <w:szCs w:val="24"/>
        </w:rPr>
        <w:t>La clairance sanguine totale est généralement calculée à partir des données sanguines du médicament obtenues après injection intraveineuse selon la formule :</w:t>
      </w:r>
    </w:p>
    <w:p w:rsidR="007C40AE" w:rsidRPr="00E611D5" w:rsidRDefault="007C40AE" w:rsidP="00E611D5">
      <w:pPr>
        <w:autoSpaceDE w:val="0"/>
        <w:autoSpaceDN w:val="0"/>
        <w:adjustRightInd w:val="0"/>
        <w:spacing w:after="0" w:line="240" w:lineRule="auto"/>
        <w:jc w:val="center"/>
        <w:rPr>
          <w:rFonts w:asciiTheme="majorBidi" w:hAnsiTheme="majorBidi" w:cstheme="majorBidi"/>
          <w:sz w:val="24"/>
          <w:szCs w:val="24"/>
        </w:rPr>
      </w:pPr>
      <w:proofErr w:type="gramStart"/>
      <w:r w:rsidRPr="00E611D5">
        <w:rPr>
          <w:rFonts w:asciiTheme="majorBidi" w:hAnsiTheme="majorBidi" w:cstheme="majorBidi"/>
          <w:sz w:val="24"/>
          <w:szCs w:val="24"/>
        </w:rPr>
        <w:t>dose</w:t>
      </w:r>
      <w:proofErr w:type="gramEnd"/>
    </w:p>
    <w:p w:rsidR="007C40AE" w:rsidRPr="00E611D5" w:rsidRDefault="007C40AE" w:rsidP="00E611D5">
      <w:pPr>
        <w:autoSpaceDE w:val="0"/>
        <w:autoSpaceDN w:val="0"/>
        <w:adjustRightInd w:val="0"/>
        <w:spacing w:after="0" w:line="240" w:lineRule="auto"/>
        <w:jc w:val="center"/>
        <w:rPr>
          <w:rFonts w:asciiTheme="majorBidi" w:hAnsiTheme="majorBidi" w:cstheme="majorBidi"/>
          <w:sz w:val="24"/>
          <w:szCs w:val="24"/>
        </w:rPr>
      </w:pPr>
      <w:r w:rsidRPr="00E611D5">
        <w:rPr>
          <w:rFonts w:asciiTheme="majorBidi" w:hAnsiTheme="majorBidi" w:cstheme="majorBidi"/>
          <w:i/>
          <w:iCs/>
          <w:sz w:val="24"/>
          <w:szCs w:val="24"/>
        </w:rPr>
        <w:t>Cl</w:t>
      </w:r>
      <w:r w:rsidRPr="00E611D5">
        <w:rPr>
          <w:rFonts w:asciiTheme="majorBidi" w:hAnsiTheme="majorBidi" w:cstheme="majorBidi"/>
          <w:sz w:val="24"/>
          <w:szCs w:val="24"/>
        </w:rPr>
        <w:t>= -------------------------</w:t>
      </w:r>
    </w:p>
    <w:p w:rsidR="007C40AE" w:rsidRPr="00E611D5" w:rsidRDefault="007C40AE" w:rsidP="00E611D5">
      <w:pPr>
        <w:autoSpaceDE w:val="0"/>
        <w:autoSpaceDN w:val="0"/>
        <w:adjustRightInd w:val="0"/>
        <w:spacing w:after="0" w:line="360" w:lineRule="auto"/>
        <w:jc w:val="center"/>
        <w:rPr>
          <w:rFonts w:asciiTheme="majorBidi" w:hAnsiTheme="majorBidi" w:cstheme="majorBidi"/>
          <w:sz w:val="24"/>
          <w:szCs w:val="24"/>
        </w:rPr>
      </w:pPr>
      <w:proofErr w:type="gramStart"/>
      <w:r w:rsidRPr="00E611D5">
        <w:rPr>
          <w:rFonts w:asciiTheme="majorBidi" w:hAnsiTheme="majorBidi" w:cstheme="majorBidi"/>
          <w:sz w:val="24"/>
          <w:szCs w:val="24"/>
        </w:rPr>
        <w:t>aire</w:t>
      </w:r>
      <w:proofErr w:type="gramEnd"/>
      <w:r w:rsidRPr="00E611D5">
        <w:rPr>
          <w:rFonts w:asciiTheme="majorBidi" w:hAnsiTheme="majorBidi" w:cstheme="majorBidi"/>
          <w:sz w:val="24"/>
          <w:szCs w:val="24"/>
        </w:rPr>
        <w:t xml:space="preserve"> sous la courbe</w:t>
      </w:r>
    </w:p>
    <w:p w:rsidR="007C40AE" w:rsidRPr="00E611D5" w:rsidRDefault="007C40AE" w:rsidP="00C358F5">
      <w:pPr>
        <w:autoSpaceDE w:val="0"/>
        <w:autoSpaceDN w:val="0"/>
        <w:adjustRightInd w:val="0"/>
        <w:spacing w:after="0" w:line="360" w:lineRule="auto"/>
        <w:ind w:firstLine="567"/>
        <w:jc w:val="both"/>
        <w:rPr>
          <w:rFonts w:asciiTheme="majorBidi" w:hAnsiTheme="majorBidi" w:cstheme="majorBidi"/>
          <w:sz w:val="24"/>
          <w:szCs w:val="24"/>
        </w:rPr>
      </w:pPr>
      <w:r w:rsidRPr="00E611D5">
        <w:rPr>
          <w:rFonts w:asciiTheme="majorBidi" w:hAnsiTheme="majorBidi" w:cstheme="majorBidi"/>
          <w:sz w:val="24"/>
          <w:szCs w:val="24"/>
        </w:rPr>
        <w:t>Si l’on administre le médicament par voie orale, il faut dans le calcul de la clairance tenir compte de la fraction qui atteint réellement la circulation, ce que l’on exprime par :</w:t>
      </w:r>
    </w:p>
    <w:p w:rsidR="007C40AE" w:rsidRPr="00E611D5" w:rsidRDefault="007C40AE" w:rsidP="00E611D5">
      <w:pPr>
        <w:autoSpaceDE w:val="0"/>
        <w:autoSpaceDN w:val="0"/>
        <w:adjustRightInd w:val="0"/>
        <w:spacing w:after="0" w:line="240" w:lineRule="auto"/>
        <w:jc w:val="center"/>
        <w:rPr>
          <w:rFonts w:asciiTheme="majorBidi" w:hAnsiTheme="majorBidi" w:cstheme="majorBidi"/>
          <w:sz w:val="24"/>
          <w:szCs w:val="24"/>
        </w:rPr>
      </w:pPr>
      <w:r w:rsidRPr="00E611D5">
        <w:rPr>
          <w:rFonts w:asciiTheme="majorBidi" w:hAnsiTheme="majorBidi" w:cstheme="majorBidi"/>
          <w:i/>
          <w:iCs/>
          <w:sz w:val="24"/>
          <w:szCs w:val="24"/>
        </w:rPr>
        <w:t xml:space="preserve">F </w:t>
      </w:r>
      <w:r w:rsidRPr="00E611D5">
        <w:rPr>
          <w:rFonts w:asciiTheme="majorBidi" w:eastAsia="SymbolMT" w:hAnsiTheme="majorBidi" w:cstheme="majorBidi"/>
          <w:sz w:val="24"/>
          <w:szCs w:val="24"/>
        </w:rPr>
        <w:t xml:space="preserve">× </w:t>
      </w:r>
      <w:r w:rsidRPr="00E611D5">
        <w:rPr>
          <w:rFonts w:asciiTheme="majorBidi" w:hAnsiTheme="majorBidi" w:cstheme="majorBidi"/>
          <w:sz w:val="24"/>
          <w:szCs w:val="24"/>
        </w:rPr>
        <w:t>dose orale</w:t>
      </w:r>
    </w:p>
    <w:p w:rsidR="007C40AE" w:rsidRPr="00E611D5" w:rsidRDefault="007C40AE" w:rsidP="00E611D5">
      <w:pPr>
        <w:autoSpaceDE w:val="0"/>
        <w:autoSpaceDN w:val="0"/>
        <w:adjustRightInd w:val="0"/>
        <w:spacing w:after="0" w:line="240" w:lineRule="auto"/>
        <w:jc w:val="center"/>
        <w:rPr>
          <w:rFonts w:asciiTheme="majorBidi" w:hAnsiTheme="majorBidi" w:cstheme="majorBidi"/>
          <w:sz w:val="24"/>
          <w:szCs w:val="24"/>
        </w:rPr>
      </w:pPr>
      <w:r w:rsidRPr="00E611D5">
        <w:rPr>
          <w:rFonts w:asciiTheme="majorBidi" w:hAnsiTheme="majorBidi" w:cstheme="majorBidi"/>
          <w:i/>
          <w:iCs/>
          <w:sz w:val="24"/>
          <w:szCs w:val="24"/>
        </w:rPr>
        <w:t>Cl</w:t>
      </w:r>
      <w:r w:rsidRPr="00E611D5">
        <w:rPr>
          <w:rFonts w:asciiTheme="majorBidi" w:hAnsiTheme="majorBidi" w:cstheme="majorBidi"/>
          <w:sz w:val="24"/>
          <w:szCs w:val="24"/>
        </w:rPr>
        <w:t xml:space="preserve"> = ----------------------------------------------</w:t>
      </w:r>
    </w:p>
    <w:p w:rsidR="007C40AE" w:rsidRPr="00E611D5" w:rsidRDefault="007C40AE" w:rsidP="00E611D5">
      <w:pPr>
        <w:autoSpaceDE w:val="0"/>
        <w:autoSpaceDN w:val="0"/>
        <w:adjustRightInd w:val="0"/>
        <w:spacing w:after="0" w:line="360" w:lineRule="auto"/>
        <w:jc w:val="center"/>
        <w:rPr>
          <w:rFonts w:asciiTheme="majorBidi" w:hAnsiTheme="majorBidi" w:cstheme="majorBidi"/>
          <w:sz w:val="24"/>
          <w:szCs w:val="24"/>
        </w:rPr>
      </w:pPr>
      <w:proofErr w:type="gramStart"/>
      <w:r w:rsidRPr="00E611D5">
        <w:rPr>
          <w:rFonts w:asciiTheme="majorBidi" w:hAnsiTheme="majorBidi" w:cstheme="majorBidi"/>
          <w:sz w:val="24"/>
          <w:szCs w:val="24"/>
        </w:rPr>
        <w:t>aire</w:t>
      </w:r>
      <w:proofErr w:type="gramEnd"/>
      <w:r w:rsidRPr="00E611D5">
        <w:rPr>
          <w:rFonts w:asciiTheme="majorBidi" w:hAnsiTheme="majorBidi" w:cstheme="majorBidi"/>
          <w:sz w:val="24"/>
          <w:szCs w:val="24"/>
        </w:rPr>
        <w:t xml:space="preserve"> sous la courbe après voie orale</w:t>
      </w:r>
    </w:p>
    <w:p w:rsidR="00DE0237" w:rsidRPr="00E611D5" w:rsidRDefault="007C40AE" w:rsidP="00E611D5">
      <w:pPr>
        <w:spacing w:line="360" w:lineRule="auto"/>
        <w:jc w:val="both"/>
        <w:rPr>
          <w:rFonts w:asciiTheme="majorBidi" w:hAnsiTheme="majorBidi" w:cstheme="majorBidi"/>
          <w:sz w:val="24"/>
          <w:szCs w:val="24"/>
        </w:rPr>
      </w:pPr>
      <w:proofErr w:type="gramStart"/>
      <w:r w:rsidRPr="00E611D5">
        <w:rPr>
          <w:rFonts w:asciiTheme="majorBidi" w:hAnsiTheme="majorBidi" w:cstheme="majorBidi"/>
          <w:sz w:val="24"/>
          <w:szCs w:val="24"/>
        </w:rPr>
        <w:t>où</w:t>
      </w:r>
      <w:proofErr w:type="gramEnd"/>
      <w:r w:rsidRPr="00E611D5">
        <w:rPr>
          <w:rFonts w:asciiTheme="majorBidi" w:hAnsiTheme="majorBidi" w:cstheme="majorBidi"/>
          <w:sz w:val="24"/>
          <w:szCs w:val="24"/>
        </w:rPr>
        <w:t xml:space="preserve"> </w:t>
      </w:r>
      <w:r w:rsidRPr="00E611D5">
        <w:rPr>
          <w:rFonts w:asciiTheme="majorBidi" w:hAnsiTheme="majorBidi" w:cstheme="majorBidi"/>
          <w:i/>
          <w:iCs/>
          <w:sz w:val="24"/>
          <w:szCs w:val="24"/>
        </w:rPr>
        <w:t xml:space="preserve">F </w:t>
      </w:r>
      <w:r w:rsidRPr="00E611D5">
        <w:rPr>
          <w:rFonts w:asciiTheme="majorBidi" w:hAnsiTheme="majorBidi" w:cstheme="majorBidi"/>
          <w:sz w:val="24"/>
          <w:szCs w:val="24"/>
        </w:rPr>
        <w:t>est la biodisponibilité</w:t>
      </w:r>
    </w:p>
    <w:p w:rsidR="00DE0237" w:rsidRPr="00E611D5" w:rsidRDefault="00DE0237" w:rsidP="00C358F5">
      <w:pPr>
        <w:autoSpaceDE w:val="0"/>
        <w:autoSpaceDN w:val="0"/>
        <w:adjustRightInd w:val="0"/>
        <w:spacing w:after="0" w:line="360" w:lineRule="auto"/>
        <w:ind w:firstLine="567"/>
        <w:jc w:val="both"/>
        <w:rPr>
          <w:rFonts w:asciiTheme="majorBidi" w:hAnsiTheme="majorBidi" w:cstheme="majorBidi"/>
          <w:sz w:val="24"/>
          <w:szCs w:val="24"/>
        </w:rPr>
      </w:pPr>
      <w:r w:rsidRPr="00E611D5">
        <w:rPr>
          <w:rFonts w:asciiTheme="majorBidi" w:hAnsiTheme="majorBidi" w:cstheme="majorBidi"/>
          <w:sz w:val="24"/>
          <w:szCs w:val="24"/>
        </w:rPr>
        <w:t>La clairance rénale est facilement calculable puisque l’on peut doser dans les urines la quantité de médicament éliminé.</w:t>
      </w:r>
    </w:p>
    <w:p w:rsidR="00DE0237" w:rsidRPr="00E611D5" w:rsidRDefault="00DE0237" w:rsidP="00C358F5">
      <w:pPr>
        <w:autoSpaceDE w:val="0"/>
        <w:autoSpaceDN w:val="0"/>
        <w:adjustRightInd w:val="0"/>
        <w:spacing w:after="0" w:line="360" w:lineRule="auto"/>
        <w:ind w:firstLine="567"/>
        <w:jc w:val="both"/>
        <w:rPr>
          <w:rFonts w:asciiTheme="majorBidi" w:hAnsiTheme="majorBidi" w:cstheme="majorBidi"/>
          <w:sz w:val="24"/>
          <w:szCs w:val="24"/>
        </w:rPr>
      </w:pPr>
      <w:r w:rsidRPr="00E611D5">
        <w:rPr>
          <w:rFonts w:asciiTheme="majorBidi" w:hAnsiTheme="majorBidi" w:cstheme="majorBidi"/>
          <w:sz w:val="24"/>
          <w:szCs w:val="24"/>
        </w:rPr>
        <w:t>Par contre, la clairance hépatique est difficile à quantifier (la clairance biliaire nécessiterait de réaliser des prélèvements biliaires</w:t>
      </w:r>
      <w:r w:rsidR="00E611D5" w:rsidRPr="00E611D5">
        <w:rPr>
          <w:rFonts w:asciiTheme="majorBidi" w:hAnsiTheme="majorBidi" w:cstheme="majorBidi"/>
          <w:sz w:val="24"/>
          <w:szCs w:val="24"/>
        </w:rPr>
        <w:t xml:space="preserve"> </w:t>
      </w:r>
      <w:r w:rsidRPr="00E611D5">
        <w:rPr>
          <w:rFonts w:asciiTheme="majorBidi" w:hAnsiTheme="majorBidi" w:cstheme="majorBidi"/>
          <w:sz w:val="24"/>
          <w:szCs w:val="24"/>
        </w:rPr>
        <w:t>…).</w:t>
      </w:r>
    </w:p>
    <w:p w:rsidR="00DE0237" w:rsidRPr="00E611D5" w:rsidRDefault="00DE0237" w:rsidP="00E611D5">
      <w:pPr>
        <w:autoSpaceDE w:val="0"/>
        <w:autoSpaceDN w:val="0"/>
        <w:adjustRightInd w:val="0"/>
        <w:spacing w:after="0" w:line="360" w:lineRule="auto"/>
        <w:jc w:val="both"/>
        <w:rPr>
          <w:rFonts w:asciiTheme="majorBidi" w:hAnsiTheme="majorBidi" w:cstheme="majorBidi"/>
          <w:sz w:val="24"/>
          <w:szCs w:val="24"/>
        </w:rPr>
      </w:pPr>
      <w:r w:rsidRPr="00E611D5">
        <w:rPr>
          <w:rFonts w:asciiTheme="majorBidi" w:hAnsiTheme="majorBidi" w:cstheme="majorBidi"/>
          <w:sz w:val="24"/>
          <w:szCs w:val="24"/>
        </w:rPr>
        <w:t>On peut alors la déduire en considérant :</w:t>
      </w:r>
    </w:p>
    <w:p w:rsidR="00A215F8" w:rsidRPr="00E611D5" w:rsidRDefault="00DE0237" w:rsidP="00E611D5">
      <w:pPr>
        <w:spacing w:line="360" w:lineRule="auto"/>
        <w:jc w:val="both"/>
        <w:rPr>
          <w:rFonts w:asciiTheme="majorBidi" w:hAnsiTheme="majorBidi" w:cstheme="majorBidi"/>
          <w:sz w:val="24"/>
          <w:szCs w:val="24"/>
        </w:rPr>
      </w:pPr>
      <w:r w:rsidRPr="00E611D5">
        <w:rPr>
          <w:rFonts w:asciiTheme="majorBidi" w:hAnsiTheme="majorBidi" w:cstheme="majorBidi"/>
          <w:sz w:val="24"/>
          <w:szCs w:val="24"/>
        </w:rPr>
        <w:t>Clairance totale = Clairance rénale + Clairance non rénale (= hépatique notamment)</w:t>
      </w:r>
    </w:p>
    <w:p w:rsidR="00A215F8" w:rsidRPr="00E611D5" w:rsidRDefault="00A215F8" w:rsidP="00E611D5">
      <w:pPr>
        <w:pStyle w:val="Paragraphedeliste"/>
        <w:numPr>
          <w:ilvl w:val="1"/>
          <w:numId w:val="1"/>
        </w:numPr>
        <w:autoSpaceDE w:val="0"/>
        <w:autoSpaceDN w:val="0"/>
        <w:adjustRightInd w:val="0"/>
        <w:spacing w:after="0" w:line="360" w:lineRule="auto"/>
        <w:jc w:val="both"/>
        <w:rPr>
          <w:rFonts w:asciiTheme="majorBidi" w:hAnsiTheme="majorBidi" w:cstheme="majorBidi"/>
          <w:b/>
          <w:bCs/>
          <w:sz w:val="24"/>
          <w:szCs w:val="24"/>
        </w:rPr>
      </w:pPr>
      <w:r w:rsidRPr="00E611D5">
        <w:rPr>
          <w:rFonts w:asciiTheme="majorBidi" w:hAnsiTheme="majorBidi" w:cstheme="majorBidi"/>
          <w:b/>
          <w:bCs/>
          <w:sz w:val="24"/>
          <w:szCs w:val="24"/>
        </w:rPr>
        <w:t xml:space="preserve"> Demi-vie d’un médicament</w:t>
      </w:r>
    </w:p>
    <w:p w:rsidR="00E611D5" w:rsidRDefault="00A215F8" w:rsidP="00C358F5">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Un paramètre synthétique est largement utilisé pour exprimer l’élimination d’un médicament de l’organisme : la </w:t>
      </w:r>
      <w:r>
        <w:rPr>
          <w:rFonts w:ascii="Times New Roman" w:hAnsi="Times New Roman" w:cs="Times New Roman"/>
          <w:b/>
          <w:bCs/>
          <w:sz w:val="24"/>
          <w:szCs w:val="24"/>
        </w:rPr>
        <w:t>demi-vie</w:t>
      </w:r>
      <w:r>
        <w:rPr>
          <w:rFonts w:ascii="Times New Roman" w:hAnsi="Times New Roman" w:cs="Times New Roman"/>
          <w:sz w:val="24"/>
          <w:szCs w:val="24"/>
        </w:rPr>
        <w:t xml:space="preserve">. La </w:t>
      </w:r>
      <w:r>
        <w:rPr>
          <w:rFonts w:ascii="Times New Roman" w:hAnsi="Times New Roman" w:cs="Times New Roman"/>
          <w:i/>
          <w:iCs/>
          <w:sz w:val="24"/>
          <w:szCs w:val="24"/>
        </w:rPr>
        <w:t>t</w:t>
      </w:r>
      <w:r>
        <w:rPr>
          <w:rFonts w:ascii="Times New Roman" w:hAnsi="Times New Roman" w:cs="Times New Roman"/>
          <w:sz w:val="19"/>
          <w:szCs w:val="19"/>
        </w:rPr>
        <w:t xml:space="preserve">1/2 </w:t>
      </w:r>
      <w:r>
        <w:rPr>
          <w:rFonts w:ascii="Times New Roman" w:hAnsi="Times New Roman" w:cs="Times New Roman"/>
          <w:sz w:val="24"/>
          <w:szCs w:val="24"/>
        </w:rPr>
        <w:t>correspond au temps nécessaire pour passer d’une concentration plasmatique à sa moitié.</w:t>
      </w:r>
    </w:p>
    <w:p w:rsidR="00A215F8" w:rsidRPr="00A215F8" w:rsidRDefault="00643C1C" w:rsidP="006E64F9">
      <w:pPr>
        <w:autoSpaceDE w:val="0"/>
        <w:autoSpaceDN w:val="0"/>
        <w:adjustRightInd w:val="0"/>
        <w:spacing w:after="0" w:line="240" w:lineRule="auto"/>
        <w:jc w:val="center"/>
        <w:rPr>
          <w:rFonts w:ascii="SymbolMT" w:eastAsia="SymbolMT" w:hAnsi="Times New Roman" w:cs="SymbolMT"/>
          <w:sz w:val="24"/>
          <w:szCs w:val="24"/>
        </w:rPr>
      </w:pPr>
      <w:r>
        <w:rPr>
          <w:rFonts w:ascii="Times New Roman" w:hAnsi="Times New Roman" w:cs="Times New Roman"/>
          <w:sz w:val="24"/>
          <w:szCs w:val="24"/>
        </w:rPr>
        <w:t xml:space="preserve">         </w:t>
      </w:r>
      <w:r w:rsidR="00A215F8">
        <w:rPr>
          <w:rFonts w:ascii="Times New Roman" w:hAnsi="Times New Roman" w:cs="Times New Roman"/>
          <w:sz w:val="24"/>
          <w:szCs w:val="24"/>
        </w:rPr>
        <w:t>0</w:t>
      </w:r>
      <w:r w:rsidR="00A215F8">
        <w:rPr>
          <w:rFonts w:ascii="Times-Roman" w:hAnsi="Times-Roman" w:cs="Times-Roman"/>
          <w:sz w:val="24"/>
          <w:szCs w:val="24"/>
        </w:rPr>
        <w:t>,</w:t>
      </w:r>
      <w:r w:rsidR="00A215F8">
        <w:rPr>
          <w:rFonts w:ascii="Times New Roman" w:hAnsi="Times New Roman" w:cs="Times New Roman"/>
          <w:sz w:val="24"/>
          <w:szCs w:val="24"/>
        </w:rPr>
        <w:t>693</w:t>
      </w:r>
      <w:r w:rsidR="00A215F8" w:rsidRPr="00A215F8">
        <w:rPr>
          <w:rFonts w:ascii="Times New Roman" w:hAnsi="Times New Roman" w:cs="Times New Roman"/>
          <w:i/>
          <w:iCs/>
          <w:sz w:val="24"/>
          <w:szCs w:val="24"/>
        </w:rPr>
        <w:t xml:space="preserve"> </w:t>
      </w:r>
      <w:r w:rsidR="00A215F8">
        <w:rPr>
          <w:rFonts w:ascii="Times New Roman" w:hAnsi="Times New Roman" w:cs="Times New Roman"/>
          <w:i/>
          <w:iCs/>
          <w:sz w:val="24"/>
          <w:szCs w:val="24"/>
        </w:rPr>
        <w:t xml:space="preserve">                  Log</w:t>
      </w:r>
      <w:r>
        <w:rPr>
          <w:rFonts w:ascii="Times New Roman" w:hAnsi="Times New Roman" w:cs="Times New Roman"/>
          <w:i/>
          <w:iCs/>
          <w:sz w:val="24"/>
          <w:szCs w:val="24"/>
        </w:rPr>
        <w:t xml:space="preserve"> </w:t>
      </w:r>
      <w:r w:rsidR="00A215F8">
        <w:rPr>
          <w:rFonts w:ascii="SymbolMT" w:eastAsia="SymbolMT" w:hAnsi="Times New Roman" w:cs="SymbolMT"/>
          <w:sz w:val="24"/>
          <w:szCs w:val="24"/>
        </w:rPr>
        <w:t>(</w:t>
      </w:r>
      <w:r w:rsidR="00A215F8">
        <w:rPr>
          <w:rFonts w:ascii="Times New Roman" w:hAnsi="Times New Roman" w:cs="Times New Roman"/>
          <w:i/>
          <w:iCs/>
          <w:sz w:val="24"/>
          <w:szCs w:val="24"/>
        </w:rPr>
        <w:t>C</w:t>
      </w:r>
      <w:r w:rsidR="00A215F8">
        <w:rPr>
          <w:rFonts w:ascii="Times New Roman" w:hAnsi="Times New Roman" w:cs="Times New Roman"/>
          <w:sz w:val="18"/>
          <w:szCs w:val="18"/>
        </w:rPr>
        <w:t xml:space="preserve">1 </w:t>
      </w:r>
      <w:r w:rsidR="00A215F8">
        <w:rPr>
          <w:rFonts w:ascii="SymbolMT" w:eastAsia="SymbolMT" w:hAnsi="Times New Roman" w:cs="SymbolMT" w:hint="eastAsia"/>
          <w:sz w:val="24"/>
          <w:szCs w:val="24"/>
        </w:rPr>
        <w:t>⁄</w:t>
      </w:r>
      <w:r w:rsidR="00A215F8">
        <w:rPr>
          <w:rFonts w:ascii="SymbolMT" w:eastAsia="SymbolMT" w:hAnsi="Times New Roman" w:cs="SymbolMT"/>
          <w:sz w:val="24"/>
          <w:szCs w:val="24"/>
        </w:rPr>
        <w:t xml:space="preserve"> </w:t>
      </w:r>
      <w:r w:rsidR="00A215F8">
        <w:rPr>
          <w:rFonts w:ascii="Times New Roman" w:hAnsi="Times New Roman" w:cs="Times New Roman"/>
          <w:i/>
          <w:iCs/>
          <w:sz w:val="24"/>
          <w:szCs w:val="24"/>
        </w:rPr>
        <w:t>C</w:t>
      </w:r>
      <w:r w:rsidR="00A215F8">
        <w:rPr>
          <w:rFonts w:ascii="Times New Roman" w:hAnsi="Times New Roman" w:cs="Times New Roman"/>
          <w:sz w:val="18"/>
          <w:szCs w:val="18"/>
        </w:rPr>
        <w:t>2</w:t>
      </w:r>
      <w:r w:rsidR="00A215F8">
        <w:rPr>
          <w:rFonts w:ascii="SymbolMT" w:eastAsia="SymbolMT" w:hAnsi="Times New Roman" w:cs="SymbolMT"/>
          <w:sz w:val="24"/>
          <w:szCs w:val="24"/>
        </w:rPr>
        <w:t>)</w:t>
      </w:r>
    </w:p>
    <w:p w:rsidR="00A215F8" w:rsidRPr="00A215F8" w:rsidRDefault="00A215F8" w:rsidP="006E64F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iCs/>
          <w:sz w:val="24"/>
          <w:szCs w:val="24"/>
        </w:rPr>
        <w:t>t</w:t>
      </w:r>
      <w:r>
        <w:rPr>
          <w:rFonts w:ascii="Times New Roman" w:hAnsi="Times New Roman" w:cs="Times New Roman"/>
          <w:sz w:val="18"/>
          <w:szCs w:val="18"/>
        </w:rPr>
        <w:t xml:space="preserve">1 </w:t>
      </w:r>
      <w:r>
        <w:rPr>
          <w:rFonts w:ascii="SymbolMT" w:eastAsia="SymbolMT" w:hAnsi="Times New Roman" w:cs="SymbolMT" w:hint="eastAsia"/>
          <w:sz w:val="18"/>
          <w:szCs w:val="18"/>
        </w:rPr>
        <w:t>⁄</w:t>
      </w:r>
      <w:r>
        <w:rPr>
          <w:rFonts w:ascii="Times New Roman" w:hAnsi="Times New Roman" w:cs="Times New Roman"/>
          <w:sz w:val="18"/>
          <w:szCs w:val="18"/>
        </w:rPr>
        <w:t>2</w:t>
      </w:r>
      <w:r>
        <w:rPr>
          <w:rFonts w:ascii="Times-Roman" w:hAnsi="Times-Roman" w:cs="Times-Roman"/>
          <w:sz w:val="24"/>
          <w:szCs w:val="24"/>
        </w:rPr>
        <w:t>=</w:t>
      </w:r>
      <w:r w:rsidR="00643C1C">
        <w:rPr>
          <w:rFonts w:ascii="Times-Roman" w:hAnsi="Times-Roman" w:cs="Times-Roman"/>
          <w:sz w:val="24"/>
          <w:szCs w:val="24"/>
        </w:rPr>
        <w:t xml:space="preserve"> </w:t>
      </w:r>
      <w:r>
        <w:rPr>
          <w:rFonts w:ascii="Times-Roman" w:hAnsi="Times-Roman" w:cs="Times-Roman"/>
          <w:sz w:val="24"/>
          <w:szCs w:val="24"/>
        </w:rPr>
        <w:t>----------</w:t>
      </w:r>
      <w:r w:rsidRPr="00A215F8">
        <w:rPr>
          <w:rFonts w:ascii="Times New Roman" w:hAnsi="Times New Roman" w:cs="Times New Roman"/>
          <w:sz w:val="24"/>
          <w:szCs w:val="24"/>
        </w:rPr>
        <w:t xml:space="preserve"> </w:t>
      </w:r>
      <w:r>
        <w:rPr>
          <w:rFonts w:ascii="Times New Roman" w:hAnsi="Times New Roman" w:cs="Times New Roman"/>
          <w:sz w:val="24"/>
          <w:szCs w:val="24"/>
        </w:rPr>
        <w:t xml:space="preserve">et  </w:t>
      </w:r>
      <w:proofErr w:type="spellStart"/>
      <w:r>
        <w:rPr>
          <w:rFonts w:ascii="Times New Roman" w:hAnsi="Times New Roman" w:cs="Times New Roman"/>
          <w:i/>
          <w:iCs/>
          <w:sz w:val="24"/>
          <w:szCs w:val="24"/>
        </w:rPr>
        <w:t>K</w:t>
      </w:r>
      <w:r>
        <w:rPr>
          <w:rFonts w:ascii="Times New Roman" w:hAnsi="Times New Roman" w:cs="Times New Roman"/>
          <w:i/>
          <w:iCs/>
          <w:sz w:val="18"/>
          <w:szCs w:val="18"/>
        </w:rPr>
        <w:t>e</w:t>
      </w:r>
      <w:proofErr w:type="spellEnd"/>
      <w:r>
        <w:rPr>
          <w:rFonts w:ascii="Times New Roman" w:hAnsi="Times New Roman" w:cs="Times New Roman"/>
          <w:i/>
          <w:iCs/>
          <w:sz w:val="18"/>
          <w:szCs w:val="18"/>
        </w:rPr>
        <w:t xml:space="preserve"> </w:t>
      </w:r>
      <w:r>
        <w:rPr>
          <w:rFonts w:ascii="Times-Roman" w:hAnsi="Times-Roman" w:cs="Times-Roman"/>
          <w:sz w:val="24"/>
          <w:szCs w:val="24"/>
        </w:rPr>
        <w:t>= ---------------------</w:t>
      </w:r>
    </w:p>
    <w:p w:rsidR="00A215F8" w:rsidRDefault="00643C1C" w:rsidP="006E64F9">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i/>
          <w:iCs/>
          <w:sz w:val="24"/>
          <w:szCs w:val="24"/>
        </w:rPr>
        <w:t xml:space="preserve">    </w:t>
      </w:r>
      <w:proofErr w:type="spellStart"/>
      <w:r w:rsidR="00A215F8">
        <w:rPr>
          <w:rFonts w:ascii="Times New Roman" w:hAnsi="Times New Roman" w:cs="Times New Roman"/>
          <w:i/>
          <w:iCs/>
          <w:sz w:val="24"/>
          <w:szCs w:val="24"/>
        </w:rPr>
        <w:t>K</w:t>
      </w:r>
      <w:r w:rsidR="00A215F8">
        <w:rPr>
          <w:rFonts w:ascii="Times New Roman" w:hAnsi="Times New Roman" w:cs="Times New Roman"/>
          <w:i/>
          <w:iCs/>
          <w:sz w:val="18"/>
          <w:szCs w:val="18"/>
        </w:rPr>
        <w:t>e</w:t>
      </w:r>
      <w:proofErr w:type="spellEnd"/>
      <w:r w:rsidR="00A215F8" w:rsidRPr="00A215F8">
        <w:rPr>
          <w:rFonts w:ascii="Times New Roman" w:hAnsi="Times New Roman" w:cs="Times New Roman"/>
          <w:i/>
          <w:iCs/>
          <w:sz w:val="24"/>
          <w:szCs w:val="24"/>
        </w:rPr>
        <w:t xml:space="preserve"> </w:t>
      </w:r>
      <w:r w:rsidR="00A215F8">
        <w:rPr>
          <w:rFonts w:ascii="Times New Roman" w:hAnsi="Times New Roman" w:cs="Times New Roman"/>
          <w:i/>
          <w:iCs/>
          <w:sz w:val="24"/>
          <w:szCs w:val="24"/>
        </w:rPr>
        <w:t xml:space="preserve">                          t</w:t>
      </w:r>
      <w:r w:rsidR="00A215F8">
        <w:rPr>
          <w:rFonts w:ascii="Times New Roman" w:hAnsi="Times New Roman" w:cs="Times New Roman"/>
          <w:sz w:val="18"/>
          <w:szCs w:val="18"/>
        </w:rPr>
        <w:t xml:space="preserve">2 </w:t>
      </w:r>
      <w:r w:rsidR="00A215F8">
        <w:rPr>
          <w:rFonts w:ascii="Times-Roman" w:hAnsi="Times-Roman" w:cs="Times-Roman"/>
          <w:sz w:val="24"/>
          <w:szCs w:val="24"/>
        </w:rPr>
        <w:t xml:space="preserve">– </w:t>
      </w:r>
      <w:r w:rsidR="00A215F8">
        <w:rPr>
          <w:rFonts w:ascii="Times New Roman" w:hAnsi="Times New Roman" w:cs="Times New Roman"/>
          <w:i/>
          <w:iCs/>
          <w:sz w:val="24"/>
          <w:szCs w:val="24"/>
        </w:rPr>
        <w:t>t</w:t>
      </w:r>
      <w:r w:rsidR="00A215F8">
        <w:rPr>
          <w:rFonts w:ascii="Times New Roman" w:hAnsi="Times New Roman" w:cs="Times New Roman"/>
          <w:sz w:val="18"/>
          <w:szCs w:val="18"/>
        </w:rPr>
        <w:t>1</w:t>
      </w:r>
    </w:p>
    <w:p w:rsidR="00A215F8" w:rsidRDefault="00A215F8" w:rsidP="00A215F8">
      <w:pPr>
        <w:autoSpaceDE w:val="0"/>
        <w:autoSpaceDN w:val="0"/>
        <w:adjustRightInd w:val="0"/>
        <w:spacing w:after="0" w:line="240" w:lineRule="auto"/>
        <w:rPr>
          <w:rFonts w:ascii="Times New Roman" w:hAnsi="Times New Roman" w:cs="Times New Roman"/>
          <w:i/>
          <w:iCs/>
          <w:sz w:val="18"/>
          <w:szCs w:val="18"/>
        </w:rPr>
      </w:pPr>
    </w:p>
    <w:p w:rsidR="00380048" w:rsidRDefault="00A215F8" w:rsidP="006E64F9">
      <w:pPr>
        <w:jc w:val="both"/>
        <w:rPr>
          <w:rFonts w:ascii="Times New Roman" w:hAnsi="Times New Roman" w:cs="Times New Roman"/>
          <w:sz w:val="24"/>
          <w:szCs w:val="24"/>
        </w:rPr>
      </w:pPr>
      <w:r>
        <w:rPr>
          <w:rFonts w:ascii="Times New Roman" w:hAnsi="Times New Roman" w:cs="Times New Roman"/>
          <w:i/>
          <w:iCs/>
          <w:sz w:val="24"/>
          <w:szCs w:val="24"/>
        </w:rPr>
        <w:t>C</w:t>
      </w:r>
      <w:r>
        <w:rPr>
          <w:rFonts w:ascii="Times New Roman" w:hAnsi="Times New Roman" w:cs="Times New Roman"/>
          <w:sz w:val="19"/>
          <w:szCs w:val="19"/>
        </w:rPr>
        <w:t xml:space="preserve">1 </w:t>
      </w:r>
      <w:r>
        <w:rPr>
          <w:rFonts w:ascii="Times New Roman" w:hAnsi="Times New Roman" w:cs="Times New Roman"/>
          <w:sz w:val="24"/>
          <w:szCs w:val="24"/>
        </w:rPr>
        <w:t xml:space="preserve">est la concentration au temps 1 et </w:t>
      </w:r>
      <w:r>
        <w:rPr>
          <w:rFonts w:ascii="Times New Roman" w:hAnsi="Times New Roman" w:cs="Times New Roman"/>
          <w:i/>
          <w:iCs/>
          <w:sz w:val="24"/>
          <w:szCs w:val="24"/>
        </w:rPr>
        <w:t>C</w:t>
      </w:r>
      <w:r>
        <w:rPr>
          <w:rFonts w:ascii="Times New Roman" w:hAnsi="Times New Roman" w:cs="Times New Roman"/>
          <w:sz w:val="19"/>
          <w:szCs w:val="19"/>
        </w:rPr>
        <w:t xml:space="preserve">2 </w:t>
      </w:r>
      <w:r>
        <w:rPr>
          <w:rFonts w:ascii="Times New Roman" w:hAnsi="Times New Roman" w:cs="Times New Roman"/>
          <w:sz w:val="24"/>
          <w:szCs w:val="24"/>
        </w:rPr>
        <w:t>la concentration au temps 2.</w:t>
      </w:r>
    </w:p>
    <w:p w:rsidR="00750B58" w:rsidRPr="006E64F9" w:rsidRDefault="00750B58" w:rsidP="00B6042B">
      <w:pPr>
        <w:autoSpaceDE w:val="0"/>
        <w:autoSpaceDN w:val="0"/>
        <w:adjustRightInd w:val="0"/>
        <w:spacing w:after="0" w:line="360" w:lineRule="auto"/>
        <w:ind w:firstLine="567"/>
        <w:jc w:val="both"/>
        <w:rPr>
          <w:rFonts w:ascii="Times New Roman" w:hAnsi="Times New Roman" w:cs="Times New Roman"/>
          <w:sz w:val="24"/>
          <w:szCs w:val="24"/>
        </w:rPr>
      </w:pPr>
      <w:r w:rsidRPr="006E64F9">
        <w:rPr>
          <w:rFonts w:ascii="Times New Roman" w:hAnsi="Times New Roman" w:cs="Times New Roman"/>
          <w:sz w:val="24"/>
          <w:szCs w:val="24"/>
        </w:rPr>
        <w:t xml:space="preserve">La </w:t>
      </w:r>
      <w:r w:rsidRPr="006E64F9">
        <w:rPr>
          <w:rFonts w:ascii="Times New Roman" w:hAnsi="Times New Roman" w:cs="Times New Roman"/>
          <w:i/>
          <w:iCs/>
          <w:sz w:val="24"/>
          <w:szCs w:val="24"/>
        </w:rPr>
        <w:t>t</w:t>
      </w:r>
      <w:r w:rsidRPr="006E64F9">
        <w:rPr>
          <w:rFonts w:ascii="Times New Roman" w:hAnsi="Times New Roman" w:cs="Times New Roman"/>
          <w:sz w:val="24"/>
          <w:szCs w:val="24"/>
        </w:rPr>
        <w:t>1/2 n’est ainsi qu’un résumé de deux paramètres physiologiques caractéristiques de chaque molécule, la clairance et le volume de distribution.</w:t>
      </w:r>
    </w:p>
    <w:p w:rsidR="00380048" w:rsidRDefault="00750B58" w:rsidP="00750B58">
      <w:pPr>
        <w:tabs>
          <w:tab w:val="left" w:pos="5085"/>
        </w:tabs>
        <w:autoSpaceDE w:val="0"/>
        <w:autoSpaceDN w:val="0"/>
        <w:adjustRightInd w:val="0"/>
        <w:spacing w:after="0" w:line="360" w:lineRule="auto"/>
        <w:jc w:val="both"/>
        <w:rPr>
          <w:rFonts w:ascii="Times New Roman" w:hAnsi="Times New Roman" w:cs="Times New Roman"/>
          <w:i/>
          <w:iCs/>
          <w:sz w:val="18"/>
          <w:szCs w:val="18"/>
        </w:rPr>
      </w:pPr>
      <w:r>
        <w:rPr>
          <w:rFonts w:ascii="Times New Roman" w:hAnsi="Times New Roman" w:cs="Times New Roman"/>
          <w:sz w:val="24"/>
          <w:szCs w:val="24"/>
        </w:rPr>
        <w:t xml:space="preserve">                                                              </w:t>
      </w:r>
      <w:r w:rsidR="00643C1C">
        <w:rPr>
          <w:rFonts w:ascii="Times New Roman" w:hAnsi="Times New Roman" w:cs="Times New Roman"/>
          <w:sz w:val="24"/>
          <w:szCs w:val="24"/>
        </w:rPr>
        <w:t xml:space="preserve">         </w:t>
      </w:r>
      <w:r w:rsidR="00380048">
        <w:rPr>
          <w:rFonts w:ascii="Times New Roman" w:hAnsi="Times New Roman" w:cs="Times New Roman"/>
          <w:sz w:val="24"/>
          <w:szCs w:val="24"/>
        </w:rPr>
        <w:t>0</w:t>
      </w:r>
      <w:r w:rsidR="00380048">
        <w:rPr>
          <w:rFonts w:ascii="Times-Roman" w:hAnsi="Times-Roman" w:cs="Times-Roman"/>
          <w:sz w:val="24"/>
          <w:szCs w:val="24"/>
        </w:rPr>
        <w:t>,</w:t>
      </w:r>
      <w:r w:rsidR="00380048">
        <w:rPr>
          <w:rFonts w:ascii="Times New Roman" w:hAnsi="Times New Roman" w:cs="Times New Roman"/>
          <w:sz w:val="24"/>
          <w:szCs w:val="24"/>
        </w:rPr>
        <w:t xml:space="preserve">693 </w:t>
      </w:r>
      <w:r w:rsidR="00380048">
        <w:rPr>
          <w:rFonts w:ascii="SymbolMT" w:eastAsia="SymbolMT" w:hAnsi="Times New Roman" w:cs="SymbolMT" w:hint="eastAsia"/>
          <w:sz w:val="24"/>
          <w:szCs w:val="24"/>
        </w:rPr>
        <w:t>×</w:t>
      </w:r>
      <w:r w:rsidR="00380048">
        <w:rPr>
          <w:rFonts w:ascii="SymbolMT" w:eastAsia="SymbolMT" w:hAnsi="Times New Roman" w:cs="SymbolMT"/>
          <w:sz w:val="24"/>
          <w:szCs w:val="24"/>
        </w:rPr>
        <w:t xml:space="preserve"> </w:t>
      </w:r>
      <w:proofErr w:type="spellStart"/>
      <w:r w:rsidR="00380048">
        <w:rPr>
          <w:rFonts w:ascii="Times New Roman" w:hAnsi="Times New Roman" w:cs="Times New Roman"/>
          <w:i/>
          <w:iCs/>
          <w:sz w:val="24"/>
          <w:szCs w:val="24"/>
        </w:rPr>
        <w:t>V</w:t>
      </w:r>
      <w:r w:rsidR="00380048">
        <w:rPr>
          <w:rFonts w:ascii="Times New Roman" w:hAnsi="Times New Roman" w:cs="Times New Roman"/>
          <w:i/>
          <w:iCs/>
          <w:sz w:val="18"/>
          <w:szCs w:val="18"/>
        </w:rPr>
        <w:t>d</w:t>
      </w:r>
      <w:proofErr w:type="spellEnd"/>
    </w:p>
    <w:p w:rsidR="00380048" w:rsidRDefault="00380048" w:rsidP="006E64F9">
      <w:pPr>
        <w:spacing w:line="240" w:lineRule="auto"/>
        <w:jc w:val="center"/>
        <w:rPr>
          <w:rFonts w:ascii="Times New Roman" w:hAnsi="Times New Roman" w:cs="Times New Roman"/>
          <w:sz w:val="24"/>
          <w:szCs w:val="24"/>
        </w:rPr>
      </w:pPr>
      <w:r>
        <w:rPr>
          <w:rFonts w:ascii="Times New Roman" w:hAnsi="Times New Roman" w:cs="Times New Roman"/>
          <w:i/>
          <w:iCs/>
          <w:sz w:val="24"/>
          <w:szCs w:val="24"/>
        </w:rPr>
        <w:t>t</w:t>
      </w:r>
      <w:r>
        <w:rPr>
          <w:rFonts w:ascii="Times New Roman" w:hAnsi="Times New Roman" w:cs="Times New Roman"/>
          <w:sz w:val="18"/>
          <w:szCs w:val="18"/>
        </w:rPr>
        <w:t xml:space="preserve">1 </w:t>
      </w:r>
      <w:r>
        <w:rPr>
          <w:rFonts w:ascii="SymbolMT" w:eastAsia="SymbolMT" w:hAnsi="Times New Roman" w:cs="SymbolMT" w:hint="eastAsia"/>
          <w:sz w:val="18"/>
          <w:szCs w:val="18"/>
        </w:rPr>
        <w:t>⁄</w:t>
      </w:r>
      <w:r>
        <w:rPr>
          <w:rFonts w:ascii="Times New Roman" w:hAnsi="Times New Roman" w:cs="Times New Roman"/>
          <w:sz w:val="18"/>
          <w:szCs w:val="18"/>
        </w:rPr>
        <w:t xml:space="preserve">2  </w:t>
      </w:r>
      <w:r>
        <w:rPr>
          <w:rFonts w:ascii="Times-Roman" w:hAnsi="Times-Roman" w:cs="Times-Roman"/>
          <w:sz w:val="24"/>
          <w:szCs w:val="24"/>
        </w:rPr>
        <w:t>= ------------------</w:t>
      </w:r>
    </w:p>
    <w:p w:rsidR="00380048" w:rsidRPr="00380048" w:rsidRDefault="00643C1C" w:rsidP="006E64F9">
      <w:pPr>
        <w:spacing w:line="240" w:lineRule="auto"/>
        <w:jc w:val="center"/>
        <w:rPr>
          <w:rFonts w:ascii="Times New Roman" w:hAnsi="Times New Roman" w:cs="Times New Roman"/>
          <w:sz w:val="24"/>
          <w:szCs w:val="24"/>
        </w:rPr>
      </w:pPr>
      <w:r>
        <w:rPr>
          <w:rFonts w:ascii="Times New Roman" w:hAnsi="Times New Roman" w:cs="Times New Roman"/>
          <w:i/>
          <w:iCs/>
          <w:sz w:val="24"/>
          <w:szCs w:val="24"/>
        </w:rPr>
        <w:t xml:space="preserve">          </w:t>
      </w:r>
      <w:r w:rsidR="00380048">
        <w:rPr>
          <w:rFonts w:ascii="Times New Roman" w:hAnsi="Times New Roman" w:cs="Times New Roman"/>
          <w:i/>
          <w:iCs/>
          <w:sz w:val="24"/>
          <w:szCs w:val="24"/>
        </w:rPr>
        <w:t>Cl</w:t>
      </w:r>
    </w:p>
    <w:p w:rsidR="00362DCB" w:rsidRDefault="00362DCB" w:rsidP="006E64F9">
      <w:pPr>
        <w:autoSpaceDE w:val="0"/>
        <w:autoSpaceDN w:val="0"/>
        <w:adjustRightInd w:val="0"/>
        <w:spacing w:after="0" w:line="360" w:lineRule="auto"/>
        <w:rPr>
          <w:rFonts w:asciiTheme="majorBidi" w:hAnsiTheme="majorBidi" w:cstheme="majorBidi"/>
          <w:sz w:val="24"/>
          <w:szCs w:val="24"/>
        </w:rPr>
      </w:pPr>
    </w:p>
    <w:p w:rsidR="00D81BB3" w:rsidRPr="006E64F9" w:rsidRDefault="00D81BB3" w:rsidP="006E64F9">
      <w:pPr>
        <w:autoSpaceDE w:val="0"/>
        <w:autoSpaceDN w:val="0"/>
        <w:adjustRightInd w:val="0"/>
        <w:spacing w:after="0" w:line="360" w:lineRule="auto"/>
        <w:rPr>
          <w:rFonts w:asciiTheme="majorBidi" w:hAnsiTheme="majorBidi" w:cstheme="majorBidi"/>
          <w:sz w:val="24"/>
          <w:szCs w:val="24"/>
        </w:rPr>
      </w:pPr>
      <w:r w:rsidRPr="006E64F9">
        <w:rPr>
          <w:rFonts w:asciiTheme="majorBidi" w:hAnsiTheme="majorBidi" w:cstheme="majorBidi"/>
          <w:sz w:val="24"/>
          <w:szCs w:val="24"/>
        </w:rPr>
        <w:t xml:space="preserve">1 </w:t>
      </w:r>
      <w:r w:rsidRPr="006E64F9">
        <w:rPr>
          <w:rFonts w:asciiTheme="majorBidi" w:hAnsiTheme="majorBidi" w:cstheme="majorBidi"/>
          <w:i/>
          <w:iCs/>
          <w:sz w:val="24"/>
          <w:szCs w:val="24"/>
        </w:rPr>
        <w:t>t</w:t>
      </w:r>
      <w:r w:rsidRPr="006E64F9">
        <w:rPr>
          <w:rFonts w:asciiTheme="majorBidi" w:hAnsiTheme="majorBidi" w:cstheme="majorBidi"/>
          <w:sz w:val="24"/>
          <w:szCs w:val="24"/>
        </w:rPr>
        <w:t>1/2 = 50 % dose éliminée</w:t>
      </w:r>
    </w:p>
    <w:p w:rsidR="00D81BB3" w:rsidRPr="006E64F9" w:rsidRDefault="00D81BB3" w:rsidP="006E64F9">
      <w:pPr>
        <w:autoSpaceDE w:val="0"/>
        <w:autoSpaceDN w:val="0"/>
        <w:adjustRightInd w:val="0"/>
        <w:spacing w:after="0" w:line="360" w:lineRule="auto"/>
        <w:rPr>
          <w:rFonts w:asciiTheme="majorBidi" w:hAnsiTheme="majorBidi" w:cstheme="majorBidi"/>
          <w:sz w:val="24"/>
          <w:szCs w:val="24"/>
        </w:rPr>
      </w:pPr>
      <w:r w:rsidRPr="006E64F9">
        <w:rPr>
          <w:rFonts w:asciiTheme="majorBidi" w:hAnsiTheme="majorBidi" w:cstheme="majorBidi"/>
          <w:sz w:val="24"/>
          <w:szCs w:val="24"/>
        </w:rPr>
        <w:t xml:space="preserve">2 </w:t>
      </w:r>
      <w:r w:rsidRPr="006E64F9">
        <w:rPr>
          <w:rFonts w:asciiTheme="majorBidi" w:hAnsiTheme="majorBidi" w:cstheme="majorBidi"/>
          <w:i/>
          <w:iCs/>
          <w:sz w:val="24"/>
          <w:szCs w:val="24"/>
        </w:rPr>
        <w:t>t</w:t>
      </w:r>
      <w:r w:rsidRPr="006E64F9">
        <w:rPr>
          <w:rFonts w:asciiTheme="majorBidi" w:hAnsiTheme="majorBidi" w:cstheme="majorBidi"/>
          <w:sz w:val="24"/>
          <w:szCs w:val="24"/>
        </w:rPr>
        <w:t>1/2 = 75 % dose éliminée</w:t>
      </w:r>
    </w:p>
    <w:p w:rsidR="00D81BB3" w:rsidRPr="006E64F9" w:rsidRDefault="00D81BB3" w:rsidP="006E64F9">
      <w:pPr>
        <w:autoSpaceDE w:val="0"/>
        <w:autoSpaceDN w:val="0"/>
        <w:adjustRightInd w:val="0"/>
        <w:spacing w:after="0" w:line="360" w:lineRule="auto"/>
        <w:rPr>
          <w:rFonts w:asciiTheme="majorBidi" w:hAnsiTheme="majorBidi" w:cstheme="majorBidi"/>
          <w:sz w:val="24"/>
          <w:szCs w:val="24"/>
        </w:rPr>
      </w:pPr>
      <w:r w:rsidRPr="006E64F9">
        <w:rPr>
          <w:rFonts w:asciiTheme="majorBidi" w:hAnsiTheme="majorBidi" w:cstheme="majorBidi"/>
          <w:sz w:val="24"/>
          <w:szCs w:val="24"/>
        </w:rPr>
        <w:t xml:space="preserve">3 </w:t>
      </w:r>
      <w:r w:rsidRPr="006E64F9">
        <w:rPr>
          <w:rFonts w:asciiTheme="majorBidi" w:hAnsiTheme="majorBidi" w:cstheme="majorBidi"/>
          <w:i/>
          <w:iCs/>
          <w:sz w:val="24"/>
          <w:szCs w:val="24"/>
        </w:rPr>
        <w:t>t</w:t>
      </w:r>
      <w:r w:rsidRPr="006E64F9">
        <w:rPr>
          <w:rFonts w:asciiTheme="majorBidi" w:hAnsiTheme="majorBidi" w:cstheme="majorBidi"/>
          <w:sz w:val="24"/>
          <w:szCs w:val="24"/>
        </w:rPr>
        <w:t>1/2 = 87.5 % dose éliminée</w:t>
      </w:r>
    </w:p>
    <w:p w:rsidR="00D81BB3" w:rsidRPr="006E64F9" w:rsidRDefault="00D81BB3" w:rsidP="006E64F9">
      <w:pPr>
        <w:autoSpaceDE w:val="0"/>
        <w:autoSpaceDN w:val="0"/>
        <w:adjustRightInd w:val="0"/>
        <w:spacing w:after="0" w:line="360" w:lineRule="auto"/>
        <w:rPr>
          <w:rFonts w:asciiTheme="majorBidi" w:hAnsiTheme="majorBidi" w:cstheme="majorBidi"/>
          <w:sz w:val="24"/>
          <w:szCs w:val="24"/>
        </w:rPr>
      </w:pPr>
      <w:r w:rsidRPr="006E64F9">
        <w:rPr>
          <w:rFonts w:asciiTheme="majorBidi" w:hAnsiTheme="majorBidi" w:cstheme="majorBidi"/>
          <w:sz w:val="24"/>
          <w:szCs w:val="24"/>
        </w:rPr>
        <w:t xml:space="preserve">3.3 </w:t>
      </w:r>
      <w:r w:rsidRPr="006E64F9">
        <w:rPr>
          <w:rFonts w:asciiTheme="majorBidi" w:hAnsiTheme="majorBidi" w:cstheme="majorBidi"/>
          <w:i/>
          <w:iCs/>
          <w:sz w:val="24"/>
          <w:szCs w:val="24"/>
        </w:rPr>
        <w:t>t</w:t>
      </w:r>
      <w:r w:rsidRPr="006E64F9">
        <w:rPr>
          <w:rFonts w:asciiTheme="majorBidi" w:hAnsiTheme="majorBidi" w:cstheme="majorBidi"/>
          <w:sz w:val="24"/>
          <w:szCs w:val="24"/>
        </w:rPr>
        <w:t>1/2 = 90 % dose éliminée</w:t>
      </w:r>
    </w:p>
    <w:p w:rsidR="00D81BB3" w:rsidRPr="006E64F9" w:rsidRDefault="00D81BB3" w:rsidP="006E64F9">
      <w:pPr>
        <w:autoSpaceDE w:val="0"/>
        <w:autoSpaceDN w:val="0"/>
        <w:adjustRightInd w:val="0"/>
        <w:spacing w:after="0" w:line="360" w:lineRule="auto"/>
        <w:rPr>
          <w:rFonts w:asciiTheme="majorBidi" w:hAnsiTheme="majorBidi" w:cstheme="majorBidi"/>
          <w:sz w:val="24"/>
          <w:szCs w:val="24"/>
        </w:rPr>
      </w:pPr>
      <w:r w:rsidRPr="006E64F9">
        <w:rPr>
          <w:rFonts w:asciiTheme="majorBidi" w:hAnsiTheme="majorBidi" w:cstheme="majorBidi"/>
          <w:sz w:val="24"/>
          <w:szCs w:val="24"/>
        </w:rPr>
        <w:t xml:space="preserve">5 </w:t>
      </w:r>
      <w:r w:rsidRPr="006E64F9">
        <w:rPr>
          <w:rFonts w:asciiTheme="majorBidi" w:hAnsiTheme="majorBidi" w:cstheme="majorBidi"/>
          <w:i/>
          <w:iCs/>
          <w:sz w:val="24"/>
          <w:szCs w:val="24"/>
        </w:rPr>
        <w:t>t</w:t>
      </w:r>
      <w:r w:rsidRPr="006E64F9">
        <w:rPr>
          <w:rFonts w:asciiTheme="majorBidi" w:hAnsiTheme="majorBidi" w:cstheme="majorBidi"/>
          <w:sz w:val="24"/>
          <w:szCs w:val="24"/>
        </w:rPr>
        <w:t>1/2 = 97 % dose éliminée</w:t>
      </w:r>
    </w:p>
    <w:p w:rsidR="008C3E93" w:rsidRPr="006E64F9" w:rsidRDefault="00D81BB3" w:rsidP="006E64F9">
      <w:pPr>
        <w:spacing w:line="360" w:lineRule="auto"/>
        <w:rPr>
          <w:rFonts w:asciiTheme="majorBidi" w:hAnsiTheme="majorBidi" w:cstheme="majorBidi"/>
          <w:sz w:val="24"/>
          <w:szCs w:val="24"/>
        </w:rPr>
      </w:pPr>
      <w:r w:rsidRPr="006E64F9">
        <w:rPr>
          <w:rFonts w:asciiTheme="majorBidi" w:hAnsiTheme="majorBidi" w:cstheme="majorBidi"/>
          <w:sz w:val="24"/>
          <w:szCs w:val="24"/>
        </w:rPr>
        <w:t xml:space="preserve">7 </w:t>
      </w:r>
      <w:r w:rsidRPr="006E64F9">
        <w:rPr>
          <w:rFonts w:asciiTheme="majorBidi" w:hAnsiTheme="majorBidi" w:cstheme="majorBidi"/>
          <w:i/>
          <w:iCs/>
          <w:sz w:val="24"/>
          <w:szCs w:val="24"/>
        </w:rPr>
        <w:t>t</w:t>
      </w:r>
      <w:r w:rsidRPr="006E64F9">
        <w:rPr>
          <w:rFonts w:asciiTheme="majorBidi" w:hAnsiTheme="majorBidi" w:cstheme="majorBidi"/>
          <w:sz w:val="24"/>
          <w:szCs w:val="24"/>
        </w:rPr>
        <w:t>1/2 = 99 % dose éliminée</w:t>
      </w:r>
    </w:p>
    <w:p w:rsidR="00380048" w:rsidRPr="008C3E93" w:rsidRDefault="00380048" w:rsidP="008C3E93">
      <w:pPr>
        <w:rPr>
          <w:rFonts w:ascii="Times New Roman" w:hAnsi="Times New Roman" w:cs="Times New Roman"/>
          <w:sz w:val="24"/>
          <w:szCs w:val="24"/>
        </w:rPr>
      </w:pPr>
    </w:p>
    <w:sectPr w:rsidR="00380048" w:rsidRPr="008C3E93" w:rsidSect="007A1B61">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E52" w:rsidRDefault="004A1E52" w:rsidP="00F26B40">
      <w:pPr>
        <w:spacing w:after="0" w:line="240" w:lineRule="auto"/>
      </w:pPr>
      <w:r>
        <w:separator/>
      </w:r>
    </w:p>
  </w:endnote>
  <w:endnote w:type="continuationSeparator" w:id="0">
    <w:p w:rsidR="004A1E52" w:rsidRDefault="004A1E52" w:rsidP="00F2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MT">
    <w:altName w:val="MS Mincho"/>
    <w:panose1 w:val="00000000000000000000"/>
    <w:charset w:val="80"/>
    <w:family w:val="auto"/>
    <w:notTrueType/>
    <w:pitch w:val="default"/>
    <w:sig w:usb0="00000001" w:usb1="08070000" w:usb2="00000010" w:usb3="00000000" w:csb0="00020000" w:csb1="00000000"/>
  </w:font>
  <w:font w:name="Times-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E3D" w:rsidRDefault="00B40E3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F03" w:rsidRDefault="00EB0509" w:rsidP="00176F03">
    <w:pPr>
      <w:pStyle w:val="Pieddepage"/>
      <w:pBdr>
        <w:top w:val="thinThickSmallGap" w:sz="24" w:space="0" w:color="622423" w:themeColor="accent2" w:themeShade="7F"/>
      </w:pBdr>
      <w:rPr>
        <w:rFonts w:asciiTheme="majorHAnsi" w:eastAsiaTheme="majorEastAsia" w:hAnsiTheme="majorHAnsi" w:cstheme="majorBidi"/>
      </w:rPr>
    </w:pPr>
    <w:r>
      <w:rPr>
        <w:rFonts w:asciiTheme="majorBidi" w:eastAsiaTheme="majorEastAsia" w:hAnsiTheme="majorBidi" w:cstheme="majorBidi"/>
        <w:i/>
        <w:iCs/>
      </w:rPr>
      <w:t>Dr A. MERZOUG</w:t>
    </w:r>
    <w:r w:rsidR="00176F03" w:rsidRPr="00CC3F88">
      <w:rPr>
        <w:rFonts w:asciiTheme="majorHAnsi" w:eastAsiaTheme="majorEastAsia" w:hAnsiTheme="majorHAnsi" w:cstheme="majorBidi"/>
      </w:rPr>
      <w:t xml:space="preserve">                                                     </w:t>
    </w:r>
    <w:r w:rsidR="00176F03">
      <w:rPr>
        <w:rFonts w:asciiTheme="majorHAnsi" w:eastAsiaTheme="majorEastAsia" w:hAnsiTheme="majorHAnsi" w:cstheme="majorBidi"/>
      </w:rPr>
      <w:ptab w:relativeTo="margin" w:alignment="right" w:leader="none"/>
    </w:r>
    <w:r w:rsidR="00176F03">
      <w:rPr>
        <w:rFonts w:asciiTheme="majorHAnsi" w:eastAsiaTheme="majorEastAsia" w:hAnsiTheme="majorHAnsi" w:cstheme="majorBidi"/>
      </w:rPr>
      <w:t xml:space="preserve">Page </w:t>
    </w:r>
    <w:r w:rsidR="00176F03">
      <w:rPr>
        <w:rFonts w:eastAsiaTheme="minorEastAsia"/>
      </w:rPr>
      <w:fldChar w:fldCharType="begin"/>
    </w:r>
    <w:r w:rsidR="00176F03">
      <w:instrText>PAGE   \* MERGEFORMAT</w:instrText>
    </w:r>
    <w:r w:rsidR="00176F03">
      <w:rPr>
        <w:rFonts w:eastAsiaTheme="minorEastAsia"/>
      </w:rPr>
      <w:fldChar w:fldCharType="separate"/>
    </w:r>
    <w:r w:rsidR="007F7E0C" w:rsidRPr="007F7E0C">
      <w:rPr>
        <w:rFonts w:asciiTheme="majorHAnsi" w:eastAsiaTheme="majorEastAsia" w:hAnsiTheme="majorHAnsi" w:cstheme="majorBidi"/>
        <w:noProof/>
      </w:rPr>
      <w:t>17</w:t>
    </w:r>
    <w:r w:rsidR="00176F03">
      <w:rPr>
        <w:rFonts w:asciiTheme="majorHAnsi" w:eastAsiaTheme="majorEastAsia" w:hAnsiTheme="majorHAnsi" w:cstheme="majorBidi"/>
      </w:rPr>
      <w:fldChar w:fldCharType="end"/>
    </w:r>
  </w:p>
  <w:p w:rsidR="00176F03" w:rsidRDefault="00176F0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E3D" w:rsidRDefault="00B40E3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E52" w:rsidRDefault="004A1E52" w:rsidP="00F26B40">
      <w:pPr>
        <w:spacing w:after="0" w:line="240" w:lineRule="auto"/>
      </w:pPr>
      <w:r>
        <w:separator/>
      </w:r>
    </w:p>
  </w:footnote>
  <w:footnote w:type="continuationSeparator" w:id="0">
    <w:p w:rsidR="004A1E52" w:rsidRDefault="004A1E52" w:rsidP="00F26B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E3D" w:rsidRDefault="00B40E3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40" w:rsidRDefault="00F26B40" w:rsidP="007F7E0C">
    <w:pPr>
      <w:pStyle w:val="En-tte"/>
      <w:rPr>
        <w:rFonts w:ascii="Times New Roman" w:eastAsia="Calibri" w:hAnsi="Times New Roman" w:cs="Times New Roman"/>
        <w:i/>
        <w:iCs/>
      </w:rPr>
    </w:pPr>
  </w:p>
  <w:sdt>
    <w:sdtPr>
      <w:rPr>
        <w:rFonts w:ascii="Times New Roman" w:eastAsia="Calibri" w:hAnsi="Times New Roman" w:cs="Times New Roman"/>
        <w:i/>
        <w:iCs/>
      </w:rPr>
      <w:alias w:val="Titre"/>
      <w:id w:val="77738743"/>
      <w:placeholder>
        <w:docPart w:val="64CD8EA024194EA8AE218D3E8E954AB3"/>
      </w:placeholder>
      <w:dataBinding w:prefixMappings="xmlns:ns0='http://schemas.openxmlformats.org/package/2006/metadata/core-properties' xmlns:ns1='http://purl.org/dc/elements/1.1/'" w:xpath="/ns0:coreProperties[1]/ns1:title[1]" w:storeItemID="{6C3C8BC8-F283-45AE-878A-BAB7291924A1}"/>
      <w:text/>
    </w:sdtPr>
    <w:sdtContent>
      <w:p w:rsidR="007F7E0C" w:rsidRPr="0040634F" w:rsidRDefault="007F7E0C" w:rsidP="007F7E0C">
        <w:pPr>
          <w:pStyle w:val="En-tte"/>
          <w:pBdr>
            <w:bottom w:val="thickThinSmallGap" w:sz="24" w:space="1" w:color="622423" w:themeColor="accent2" w:themeShade="7F"/>
          </w:pBdr>
          <w:spacing w:line="360" w:lineRule="auto"/>
          <w:rPr>
            <w:rFonts w:ascii="Times New Roman" w:eastAsia="Calibri" w:hAnsi="Times New Roman" w:cs="Times New Roman"/>
            <w:i/>
            <w:iCs/>
          </w:rPr>
        </w:pPr>
        <w:r>
          <w:rPr>
            <w:rFonts w:ascii="Times New Roman" w:eastAsia="Calibri" w:hAnsi="Times New Roman" w:cs="Times New Roman"/>
            <w:i/>
            <w:iCs/>
          </w:rPr>
          <w:t xml:space="preserve">Centre Universitaire  </w:t>
        </w:r>
        <w:proofErr w:type="spellStart"/>
        <w:r>
          <w:rPr>
            <w:rFonts w:ascii="Times New Roman" w:eastAsia="Calibri" w:hAnsi="Times New Roman" w:cs="Times New Roman"/>
            <w:i/>
            <w:iCs/>
          </w:rPr>
          <w:t>Abdelhafid</w:t>
        </w:r>
        <w:proofErr w:type="spellEnd"/>
        <w:r>
          <w:rPr>
            <w:rFonts w:ascii="Times New Roman" w:eastAsia="Calibri" w:hAnsi="Times New Roman" w:cs="Times New Roman"/>
            <w:i/>
            <w:iCs/>
          </w:rPr>
          <w:t xml:space="preserve"> </w:t>
        </w:r>
        <w:proofErr w:type="spellStart"/>
        <w:r>
          <w:rPr>
            <w:rFonts w:ascii="Times New Roman" w:eastAsia="Calibri" w:hAnsi="Times New Roman" w:cs="Times New Roman"/>
            <w:i/>
            <w:iCs/>
          </w:rPr>
          <w:t>Boussouf</w:t>
        </w:r>
        <w:proofErr w:type="spellEnd"/>
        <w:r>
          <w:rPr>
            <w:rFonts w:ascii="Times New Roman" w:eastAsia="Calibri" w:hAnsi="Times New Roman" w:cs="Times New Roman"/>
            <w:i/>
            <w:iCs/>
          </w:rPr>
          <w:t xml:space="preserve">. Mila                                                                                        Cours de </w:t>
        </w:r>
        <w:proofErr w:type="spellStart"/>
        <w:r>
          <w:rPr>
            <w:rFonts w:ascii="Times New Roman" w:eastAsia="Calibri" w:hAnsi="Times New Roman" w:cs="Times New Roman"/>
            <w:i/>
            <w:iCs/>
          </w:rPr>
          <w:t>Pharmaco-toxicologie</w:t>
        </w:r>
        <w:proofErr w:type="spellEnd"/>
        <w:r>
          <w:rPr>
            <w:rFonts w:ascii="Times New Roman" w:eastAsia="Calibri" w:hAnsi="Times New Roman" w:cs="Times New Roman"/>
            <w:i/>
            <w:iCs/>
          </w:rPr>
          <w:t xml:space="preserve">                                                                            3ème Année Biochimie</w:t>
        </w:r>
      </w:p>
    </w:sdtContent>
  </w:sdt>
  <w:p w:rsidR="007F7E0C" w:rsidRPr="007F7E0C" w:rsidRDefault="007F7E0C" w:rsidP="007F7E0C">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E3D" w:rsidRDefault="00B40E3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7488F"/>
    <w:multiLevelType w:val="hybridMultilevel"/>
    <w:tmpl w:val="63F40C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4401B6"/>
    <w:multiLevelType w:val="hybridMultilevel"/>
    <w:tmpl w:val="B22CE65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2ABE6FA1"/>
    <w:multiLevelType w:val="multilevel"/>
    <w:tmpl w:val="BEA8EE6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C463848"/>
    <w:multiLevelType w:val="hybridMultilevel"/>
    <w:tmpl w:val="FE409106"/>
    <w:lvl w:ilvl="0" w:tplc="507611B8">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0D90545"/>
    <w:multiLevelType w:val="hybridMultilevel"/>
    <w:tmpl w:val="EB969226"/>
    <w:lvl w:ilvl="0" w:tplc="2702EC9E">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506869A0"/>
    <w:multiLevelType w:val="hybridMultilevel"/>
    <w:tmpl w:val="B90C70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730"/>
    <w:rsid w:val="000025E7"/>
    <w:rsid w:val="000229D7"/>
    <w:rsid w:val="000303DF"/>
    <w:rsid w:val="00034E20"/>
    <w:rsid w:val="00060205"/>
    <w:rsid w:val="0008177E"/>
    <w:rsid w:val="00085FE1"/>
    <w:rsid w:val="000C5FE4"/>
    <w:rsid w:val="000D1AAC"/>
    <w:rsid w:val="000D62FF"/>
    <w:rsid w:val="000E4730"/>
    <w:rsid w:val="000F1C7E"/>
    <w:rsid w:val="001013C8"/>
    <w:rsid w:val="00107F40"/>
    <w:rsid w:val="00127FBD"/>
    <w:rsid w:val="001418CF"/>
    <w:rsid w:val="00150602"/>
    <w:rsid w:val="001560DE"/>
    <w:rsid w:val="00156343"/>
    <w:rsid w:val="00156809"/>
    <w:rsid w:val="00176F03"/>
    <w:rsid w:val="001A5928"/>
    <w:rsid w:val="001C18EA"/>
    <w:rsid w:val="001C5E38"/>
    <w:rsid w:val="001E4FB2"/>
    <w:rsid w:val="001E79B4"/>
    <w:rsid w:val="0021012A"/>
    <w:rsid w:val="00237629"/>
    <w:rsid w:val="00243FBD"/>
    <w:rsid w:val="002470B1"/>
    <w:rsid w:val="00261D2E"/>
    <w:rsid w:val="00267C1C"/>
    <w:rsid w:val="002861DE"/>
    <w:rsid w:val="002A3B69"/>
    <w:rsid w:val="002A423F"/>
    <w:rsid w:val="002A6AAE"/>
    <w:rsid w:val="002A7E65"/>
    <w:rsid w:val="002E0ABD"/>
    <w:rsid w:val="002F683D"/>
    <w:rsid w:val="00303B6D"/>
    <w:rsid w:val="0031115A"/>
    <w:rsid w:val="003162E1"/>
    <w:rsid w:val="00326528"/>
    <w:rsid w:val="003528F6"/>
    <w:rsid w:val="00362DCB"/>
    <w:rsid w:val="0037330F"/>
    <w:rsid w:val="00380048"/>
    <w:rsid w:val="00383D84"/>
    <w:rsid w:val="003904F8"/>
    <w:rsid w:val="003A2C48"/>
    <w:rsid w:val="003B44DE"/>
    <w:rsid w:val="003C355A"/>
    <w:rsid w:val="003C6555"/>
    <w:rsid w:val="003E0F03"/>
    <w:rsid w:val="003E7C35"/>
    <w:rsid w:val="00400483"/>
    <w:rsid w:val="004052FD"/>
    <w:rsid w:val="00413313"/>
    <w:rsid w:val="0042509F"/>
    <w:rsid w:val="00432F3A"/>
    <w:rsid w:val="0043626D"/>
    <w:rsid w:val="004466A6"/>
    <w:rsid w:val="00447417"/>
    <w:rsid w:val="00451486"/>
    <w:rsid w:val="00462BFB"/>
    <w:rsid w:val="00465E92"/>
    <w:rsid w:val="00470252"/>
    <w:rsid w:val="00491960"/>
    <w:rsid w:val="004A1E52"/>
    <w:rsid w:val="004A5FA3"/>
    <w:rsid w:val="004B04FA"/>
    <w:rsid w:val="004B4BBB"/>
    <w:rsid w:val="004C01AE"/>
    <w:rsid w:val="004C11D0"/>
    <w:rsid w:val="004E3BE6"/>
    <w:rsid w:val="004E5A98"/>
    <w:rsid w:val="0050776C"/>
    <w:rsid w:val="00515A1F"/>
    <w:rsid w:val="00524A15"/>
    <w:rsid w:val="0053456B"/>
    <w:rsid w:val="005407A3"/>
    <w:rsid w:val="00555326"/>
    <w:rsid w:val="005724D2"/>
    <w:rsid w:val="005768FB"/>
    <w:rsid w:val="00582C5E"/>
    <w:rsid w:val="005A382B"/>
    <w:rsid w:val="005F3765"/>
    <w:rsid w:val="005F3B13"/>
    <w:rsid w:val="0062020D"/>
    <w:rsid w:val="00635C81"/>
    <w:rsid w:val="00643C1C"/>
    <w:rsid w:val="00660F34"/>
    <w:rsid w:val="00671F9E"/>
    <w:rsid w:val="00684C62"/>
    <w:rsid w:val="00686E7F"/>
    <w:rsid w:val="006941AE"/>
    <w:rsid w:val="006B1614"/>
    <w:rsid w:val="006B7ABA"/>
    <w:rsid w:val="006C310C"/>
    <w:rsid w:val="006E64F9"/>
    <w:rsid w:val="006E6D01"/>
    <w:rsid w:val="006E75D1"/>
    <w:rsid w:val="006F4EE8"/>
    <w:rsid w:val="0074701E"/>
    <w:rsid w:val="00750B58"/>
    <w:rsid w:val="0075475F"/>
    <w:rsid w:val="00761210"/>
    <w:rsid w:val="00770BD9"/>
    <w:rsid w:val="007805F5"/>
    <w:rsid w:val="007A17C4"/>
    <w:rsid w:val="007A1B61"/>
    <w:rsid w:val="007C40AE"/>
    <w:rsid w:val="007E7B67"/>
    <w:rsid w:val="007F022B"/>
    <w:rsid w:val="007F7E0C"/>
    <w:rsid w:val="008111B3"/>
    <w:rsid w:val="00834B77"/>
    <w:rsid w:val="00846286"/>
    <w:rsid w:val="00846EF6"/>
    <w:rsid w:val="00875152"/>
    <w:rsid w:val="00881BF2"/>
    <w:rsid w:val="008B0F6C"/>
    <w:rsid w:val="008C3E93"/>
    <w:rsid w:val="008C659F"/>
    <w:rsid w:val="008D78D8"/>
    <w:rsid w:val="008F7D8D"/>
    <w:rsid w:val="00945E51"/>
    <w:rsid w:val="0095794B"/>
    <w:rsid w:val="009722DB"/>
    <w:rsid w:val="009B2A65"/>
    <w:rsid w:val="00A10223"/>
    <w:rsid w:val="00A215F8"/>
    <w:rsid w:val="00A33AD0"/>
    <w:rsid w:val="00A43E3E"/>
    <w:rsid w:val="00A508DA"/>
    <w:rsid w:val="00A56209"/>
    <w:rsid w:val="00A67DA0"/>
    <w:rsid w:val="00A80E79"/>
    <w:rsid w:val="00A87AA2"/>
    <w:rsid w:val="00A97B2F"/>
    <w:rsid w:val="00AC47C8"/>
    <w:rsid w:val="00AE3482"/>
    <w:rsid w:val="00AF55CC"/>
    <w:rsid w:val="00B27F0C"/>
    <w:rsid w:val="00B40E3D"/>
    <w:rsid w:val="00B53624"/>
    <w:rsid w:val="00B6042B"/>
    <w:rsid w:val="00B63059"/>
    <w:rsid w:val="00B806B2"/>
    <w:rsid w:val="00B850FE"/>
    <w:rsid w:val="00B93E80"/>
    <w:rsid w:val="00BB2C02"/>
    <w:rsid w:val="00BC01E8"/>
    <w:rsid w:val="00BC688B"/>
    <w:rsid w:val="00BC68BC"/>
    <w:rsid w:val="00BD61CC"/>
    <w:rsid w:val="00C00087"/>
    <w:rsid w:val="00C07B4F"/>
    <w:rsid w:val="00C10B9E"/>
    <w:rsid w:val="00C1501B"/>
    <w:rsid w:val="00C23C30"/>
    <w:rsid w:val="00C26874"/>
    <w:rsid w:val="00C27C98"/>
    <w:rsid w:val="00C3046B"/>
    <w:rsid w:val="00C358F5"/>
    <w:rsid w:val="00C3681D"/>
    <w:rsid w:val="00C57227"/>
    <w:rsid w:val="00C868D5"/>
    <w:rsid w:val="00C91ACB"/>
    <w:rsid w:val="00CC1CEB"/>
    <w:rsid w:val="00CE4846"/>
    <w:rsid w:val="00D053F5"/>
    <w:rsid w:val="00D13C57"/>
    <w:rsid w:val="00D410B4"/>
    <w:rsid w:val="00D71C54"/>
    <w:rsid w:val="00D72C8F"/>
    <w:rsid w:val="00D81BB3"/>
    <w:rsid w:val="00DA043E"/>
    <w:rsid w:val="00DB2583"/>
    <w:rsid w:val="00DB3A77"/>
    <w:rsid w:val="00DB6F01"/>
    <w:rsid w:val="00DC5BD9"/>
    <w:rsid w:val="00DC6291"/>
    <w:rsid w:val="00DE0237"/>
    <w:rsid w:val="00E125D3"/>
    <w:rsid w:val="00E129D2"/>
    <w:rsid w:val="00E16259"/>
    <w:rsid w:val="00E1665F"/>
    <w:rsid w:val="00E3461C"/>
    <w:rsid w:val="00E611D5"/>
    <w:rsid w:val="00E713CF"/>
    <w:rsid w:val="00E72062"/>
    <w:rsid w:val="00E9565A"/>
    <w:rsid w:val="00EA4026"/>
    <w:rsid w:val="00EA4861"/>
    <w:rsid w:val="00EB0509"/>
    <w:rsid w:val="00EB7FE9"/>
    <w:rsid w:val="00EC02A0"/>
    <w:rsid w:val="00EC5BD1"/>
    <w:rsid w:val="00EC7F30"/>
    <w:rsid w:val="00ED65B4"/>
    <w:rsid w:val="00EF58E0"/>
    <w:rsid w:val="00EF6893"/>
    <w:rsid w:val="00F0381C"/>
    <w:rsid w:val="00F149AE"/>
    <w:rsid w:val="00F2104D"/>
    <w:rsid w:val="00F26B40"/>
    <w:rsid w:val="00F51A3A"/>
    <w:rsid w:val="00F53D59"/>
    <w:rsid w:val="00F5422A"/>
    <w:rsid w:val="00FB076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868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68D5"/>
    <w:rPr>
      <w:rFonts w:ascii="Tahoma" w:hAnsi="Tahoma" w:cs="Tahoma"/>
      <w:sz w:val="16"/>
      <w:szCs w:val="16"/>
    </w:rPr>
  </w:style>
  <w:style w:type="paragraph" w:styleId="Paragraphedeliste">
    <w:name w:val="List Paragraph"/>
    <w:basedOn w:val="Normal"/>
    <w:uiPriority w:val="34"/>
    <w:qFormat/>
    <w:rsid w:val="00243FBD"/>
    <w:pPr>
      <w:ind w:left="720"/>
      <w:contextualSpacing/>
    </w:pPr>
  </w:style>
  <w:style w:type="paragraph" w:styleId="En-tte">
    <w:name w:val="header"/>
    <w:basedOn w:val="Normal"/>
    <w:link w:val="En-tteCar"/>
    <w:uiPriority w:val="99"/>
    <w:unhideWhenUsed/>
    <w:rsid w:val="00F26B40"/>
    <w:pPr>
      <w:tabs>
        <w:tab w:val="center" w:pos="4536"/>
        <w:tab w:val="right" w:pos="9072"/>
      </w:tabs>
      <w:spacing w:after="0" w:line="240" w:lineRule="auto"/>
    </w:pPr>
  </w:style>
  <w:style w:type="character" w:customStyle="1" w:styleId="En-tteCar">
    <w:name w:val="En-tête Car"/>
    <w:basedOn w:val="Policepardfaut"/>
    <w:link w:val="En-tte"/>
    <w:uiPriority w:val="99"/>
    <w:rsid w:val="00F26B40"/>
  </w:style>
  <w:style w:type="paragraph" w:styleId="Pieddepage">
    <w:name w:val="footer"/>
    <w:basedOn w:val="Normal"/>
    <w:link w:val="PieddepageCar"/>
    <w:uiPriority w:val="99"/>
    <w:unhideWhenUsed/>
    <w:rsid w:val="00F26B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6B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868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68D5"/>
    <w:rPr>
      <w:rFonts w:ascii="Tahoma" w:hAnsi="Tahoma" w:cs="Tahoma"/>
      <w:sz w:val="16"/>
      <w:szCs w:val="16"/>
    </w:rPr>
  </w:style>
  <w:style w:type="paragraph" w:styleId="Paragraphedeliste">
    <w:name w:val="List Paragraph"/>
    <w:basedOn w:val="Normal"/>
    <w:uiPriority w:val="34"/>
    <w:qFormat/>
    <w:rsid w:val="00243FBD"/>
    <w:pPr>
      <w:ind w:left="720"/>
      <w:contextualSpacing/>
    </w:pPr>
  </w:style>
  <w:style w:type="paragraph" w:styleId="En-tte">
    <w:name w:val="header"/>
    <w:basedOn w:val="Normal"/>
    <w:link w:val="En-tteCar"/>
    <w:uiPriority w:val="99"/>
    <w:unhideWhenUsed/>
    <w:rsid w:val="00F26B40"/>
    <w:pPr>
      <w:tabs>
        <w:tab w:val="center" w:pos="4536"/>
        <w:tab w:val="right" w:pos="9072"/>
      </w:tabs>
      <w:spacing w:after="0" w:line="240" w:lineRule="auto"/>
    </w:pPr>
  </w:style>
  <w:style w:type="character" w:customStyle="1" w:styleId="En-tteCar">
    <w:name w:val="En-tête Car"/>
    <w:basedOn w:val="Policepardfaut"/>
    <w:link w:val="En-tte"/>
    <w:uiPriority w:val="99"/>
    <w:rsid w:val="00F26B40"/>
  </w:style>
  <w:style w:type="paragraph" w:styleId="Pieddepage">
    <w:name w:val="footer"/>
    <w:basedOn w:val="Normal"/>
    <w:link w:val="PieddepageCar"/>
    <w:uiPriority w:val="99"/>
    <w:unhideWhenUsed/>
    <w:rsid w:val="00F26B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6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CD8EA024194EA8AE218D3E8E954AB3"/>
        <w:category>
          <w:name w:val="Général"/>
          <w:gallery w:val="placeholder"/>
        </w:category>
        <w:types>
          <w:type w:val="bbPlcHdr"/>
        </w:types>
        <w:behaviors>
          <w:behavior w:val="content"/>
        </w:behaviors>
        <w:guid w:val="{D7EB1D7C-E614-45FD-B11D-01D9B711C438}"/>
      </w:docPartPr>
      <w:docPartBody>
        <w:p w:rsidR="00000000" w:rsidRDefault="004252B3" w:rsidP="004252B3">
          <w:pPr>
            <w:pStyle w:val="64CD8EA024194EA8AE218D3E8E954AB3"/>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MT">
    <w:altName w:val="MS Mincho"/>
    <w:panose1 w:val="00000000000000000000"/>
    <w:charset w:val="80"/>
    <w:family w:val="auto"/>
    <w:notTrueType/>
    <w:pitch w:val="default"/>
    <w:sig w:usb0="00000001" w:usb1="08070000" w:usb2="00000010" w:usb3="00000000" w:csb0="00020000" w:csb1="00000000"/>
  </w:font>
  <w:font w:name="Times-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3B"/>
    <w:rsid w:val="0002292C"/>
    <w:rsid w:val="000E4A28"/>
    <w:rsid w:val="00171AD9"/>
    <w:rsid w:val="001926AB"/>
    <w:rsid w:val="0029123B"/>
    <w:rsid w:val="00291FE6"/>
    <w:rsid w:val="003228D1"/>
    <w:rsid w:val="003E5D72"/>
    <w:rsid w:val="0040195F"/>
    <w:rsid w:val="004252B3"/>
    <w:rsid w:val="00656A82"/>
    <w:rsid w:val="0070683B"/>
    <w:rsid w:val="00A507A6"/>
    <w:rsid w:val="00A5217E"/>
    <w:rsid w:val="00C43597"/>
    <w:rsid w:val="00DE1BBD"/>
    <w:rsid w:val="00FD6E6E"/>
    <w:rsid w:val="00FF497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E0880E1901F4AC19DC46C280A0717A0">
    <w:name w:val="FE0880E1901F4AC19DC46C280A0717A0"/>
    <w:rsid w:val="0029123B"/>
  </w:style>
  <w:style w:type="paragraph" w:customStyle="1" w:styleId="61CC3AA0D87F49449BA8CC9F9309E412">
    <w:name w:val="61CC3AA0D87F49449BA8CC9F9309E412"/>
    <w:rsid w:val="004252B3"/>
  </w:style>
  <w:style w:type="paragraph" w:customStyle="1" w:styleId="695E35C6EDA3487E9DF02287C4C95BA9">
    <w:name w:val="695E35C6EDA3487E9DF02287C4C95BA9"/>
    <w:rsid w:val="004252B3"/>
  </w:style>
  <w:style w:type="paragraph" w:customStyle="1" w:styleId="97640CDBA837467F9DBEE8D43A333B93">
    <w:name w:val="97640CDBA837467F9DBEE8D43A333B93"/>
    <w:rsid w:val="004252B3"/>
  </w:style>
  <w:style w:type="paragraph" w:customStyle="1" w:styleId="7B5AE7D5DCEB4AAC836CCCA405CB2F88">
    <w:name w:val="7B5AE7D5DCEB4AAC836CCCA405CB2F88"/>
    <w:rsid w:val="004252B3"/>
  </w:style>
  <w:style w:type="paragraph" w:customStyle="1" w:styleId="64CD8EA024194EA8AE218D3E8E954AB3">
    <w:name w:val="64CD8EA024194EA8AE218D3E8E954AB3"/>
    <w:rsid w:val="004252B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E0880E1901F4AC19DC46C280A0717A0">
    <w:name w:val="FE0880E1901F4AC19DC46C280A0717A0"/>
    <w:rsid w:val="0029123B"/>
  </w:style>
  <w:style w:type="paragraph" w:customStyle="1" w:styleId="61CC3AA0D87F49449BA8CC9F9309E412">
    <w:name w:val="61CC3AA0D87F49449BA8CC9F9309E412"/>
    <w:rsid w:val="004252B3"/>
  </w:style>
  <w:style w:type="paragraph" w:customStyle="1" w:styleId="695E35C6EDA3487E9DF02287C4C95BA9">
    <w:name w:val="695E35C6EDA3487E9DF02287C4C95BA9"/>
    <w:rsid w:val="004252B3"/>
  </w:style>
  <w:style w:type="paragraph" w:customStyle="1" w:styleId="97640CDBA837467F9DBEE8D43A333B93">
    <w:name w:val="97640CDBA837467F9DBEE8D43A333B93"/>
    <w:rsid w:val="004252B3"/>
  </w:style>
  <w:style w:type="paragraph" w:customStyle="1" w:styleId="7B5AE7D5DCEB4AAC836CCCA405CB2F88">
    <w:name w:val="7B5AE7D5DCEB4AAC836CCCA405CB2F88"/>
    <w:rsid w:val="004252B3"/>
  </w:style>
  <w:style w:type="paragraph" w:customStyle="1" w:styleId="64CD8EA024194EA8AE218D3E8E954AB3">
    <w:name w:val="64CD8EA024194EA8AE218D3E8E954AB3"/>
    <w:rsid w:val="004252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D64E4-4943-4121-9126-8CDD8453D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11</Pages>
  <Words>2352</Words>
  <Characters>12938</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Université de Abdelhafid Boussouf. Mila                                               Cours de Pharmaco-toxicologie                                                                          3ème Année Biochimie</vt:lpstr>
    </vt:vector>
  </TitlesOfParts>
  <Company>Toshiba</Company>
  <LinksUpToDate>false</LinksUpToDate>
  <CharactersWithSpaces>15260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Universitaire  Abdelhafid Boussouf. Mila                                                                                        Cours de Pharmaco-toxicologie                                                                            3ème Année Biochimie</dc:title>
  <dc:creator>AMINAPC</dc:creator>
  <cp:lastModifiedBy>AMINAPC</cp:lastModifiedBy>
  <cp:revision>186</cp:revision>
  <dcterms:created xsi:type="dcterms:W3CDTF">2015-08-05T10:44:00Z</dcterms:created>
  <dcterms:modified xsi:type="dcterms:W3CDTF">2021-01-01T17:39:00Z</dcterms:modified>
</cp:coreProperties>
</file>