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F88" w:rsidRDefault="00CC3F88" w:rsidP="0040634F">
      <w:pPr>
        <w:autoSpaceDE w:val="0"/>
        <w:autoSpaceDN w:val="0"/>
        <w:adjustRightInd w:val="0"/>
        <w:spacing w:after="0" w:line="360" w:lineRule="auto"/>
        <w:rPr>
          <w:rFonts w:ascii="Times New Roman" w:hAnsi="Times New Roman" w:cs="Times New Roman"/>
          <w:b/>
          <w:bCs/>
          <w:sz w:val="24"/>
          <w:szCs w:val="24"/>
        </w:rPr>
      </w:pPr>
    </w:p>
    <w:p w:rsidR="00E95167" w:rsidRPr="00F03860" w:rsidRDefault="000A2AFD" w:rsidP="00E95167">
      <w:pPr>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CHAPIRE I : </w:t>
      </w:r>
      <w:r w:rsidR="00E95167" w:rsidRPr="00F03860">
        <w:rPr>
          <w:rFonts w:ascii="Times New Roman" w:hAnsi="Times New Roman" w:cs="Times New Roman"/>
          <w:b/>
          <w:bCs/>
          <w:sz w:val="28"/>
          <w:szCs w:val="28"/>
        </w:rPr>
        <w:t>MECANISMES D’ACTION DES MEDICAMENTS</w:t>
      </w:r>
    </w:p>
    <w:p w:rsidR="00E95167" w:rsidRPr="00F03860" w:rsidRDefault="00E95167" w:rsidP="00E95167">
      <w:pPr>
        <w:autoSpaceDE w:val="0"/>
        <w:autoSpaceDN w:val="0"/>
        <w:adjustRightInd w:val="0"/>
        <w:spacing w:after="0" w:line="360" w:lineRule="auto"/>
        <w:jc w:val="center"/>
        <w:rPr>
          <w:rFonts w:ascii="Times New Roman" w:hAnsi="Times New Roman" w:cs="Times New Roman"/>
          <w:b/>
          <w:bCs/>
          <w:sz w:val="28"/>
          <w:szCs w:val="28"/>
        </w:rPr>
      </w:pPr>
      <w:r w:rsidRPr="00F03860">
        <w:rPr>
          <w:rFonts w:ascii="Times New Roman" w:hAnsi="Times New Roman" w:cs="Times New Roman"/>
          <w:b/>
          <w:bCs/>
          <w:sz w:val="28"/>
          <w:szCs w:val="28"/>
        </w:rPr>
        <w:t>PHARMACODYNAMIE</w:t>
      </w:r>
    </w:p>
    <w:p w:rsidR="00E8314E" w:rsidRDefault="00E8314E" w:rsidP="00CC3F88">
      <w:pPr>
        <w:spacing w:line="240" w:lineRule="auto"/>
      </w:pPr>
    </w:p>
    <w:p w:rsidR="00E95167" w:rsidRPr="00356355" w:rsidRDefault="00E95167" w:rsidP="00356355">
      <w:pPr>
        <w:autoSpaceDE w:val="0"/>
        <w:autoSpaceDN w:val="0"/>
        <w:adjustRightInd w:val="0"/>
        <w:spacing w:after="0" w:line="360" w:lineRule="auto"/>
        <w:jc w:val="both"/>
        <w:rPr>
          <w:rFonts w:asciiTheme="majorBidi" w:hAnsiTheme="majorBidi" w:cstheme="majorBidi"/>
          <w:b/>
          <w:bCs/>
          <w:sz w:val="24"/>
          <w:szCs w:val="24"/>
        </w:rPr>
      </w:pPr>
      <w:r w:rsidRPr="00356355">
        <w:rPr>
          <w:rFonts w:asciiTheme="majorBidi" w:hAnsiTheme="majorBidi" w:cstheme="majorBidi"/>
          <w:b/>
          <w:bCs/>
          <w:sz w:val="24"/>
          <w:szCs w:val="24"/>
        </w:rPr>
        <w:t>Introduction</w:t>
      </w:r>
    </w:p>
    <w:p w:rsidR="00E95167" w:rsidRPr="00356355" w:rsidRDefault="00E95167" w:rsidP="00562060">
      <w:pPr>
        <w:autoSpaceDE w:val="0"/>
        <w:autoSpaceDN w:val="0"/>
        <w:adjustRightInd w:val="0"/>
        <w:spacing w:after="0" w:line="360" w:lineRule="auto"/>
        <w:ind w:firstLine="567"/>
        <w:jc w:val="both"/>
        <w:rPr>
          <w:rFonts w:asciiTheme="majorBidi" w:hAnsiTheme="majorBidi" w:cstheme="majorBidi"/>
          <w:sz w:val="24"/>
          <w:szCs w:val="24"/>
        </w:rPr>
      </w:pPr>
      <w:r w:rsidRPr="00356355">
        <w:rPr>
          <w:rFonts w:asciiTheme="majorBidi" w:hAnsiTheme="majorBidi" w:cstheme="majorBidi"/>
          <w:sz w:val="24"/>
          <w:szCs w:val="24"/>
        </w:rPr>
        <w:t>L’effet d’un médicament est lié à l’interaction du médicament avec son site d’action, qui est généralement un récepteur mais qui peut aussi être une enzyme, une protéine de transport, un canal ionique ou un élément non encore identifié.</w:t>
      </w:r>
      <w:r w:rsidR="007D2C98" w:rsidRPr="00356355">
        <w:rPr>
          <w:rFonts w:asciiTheme="majorBidi" w:hAnsiTheme="majorBidi" w:cstheme="majorBidi"/>
          <w:sz w:val="24"/>
          <w:szCs w:val="24"/>
        </w:rPr>
        <w:t xml:space="preserve"> Le médicament doit avoir une certaine affinité pour son site d’action.</w:t>
      </w:r>
    </w:p>
    <w:p w:rsidR="00E95167" w:rsidRPr="0031485E" w:rsidRDefault="00E95167" w:rsidP="0031485E">
      <w:pPr>
        <w:pStyle w:val="Paragraphedeliste"/>
        <w:numPr>
          <w:ilvl w:val="0"/>
          <w:numId w:val="6"/>
        </w:numPr>
        <w:autoSpaceDE w:val="0"/>
        <w:autoSpaceDN w:val="0"/>
        <w:adjustRightInd w:val="0"/>
        <w:spacing w:after="0" w:line="360" w:lineRule="auto"/>
        <w:jc w:val="both"/>
        <w:rPr>
          <w:rFonts w:asciiTheme="majorBidi" w:hAnsiTheme="majorBidi" w:cstheme="majorBidi"/>
          <w:b/>
          <w:bCs/>
          <w:sz w:val="24"/>
          <w:szCs w:val="24"/>
        </w:rPr>
      </w:pPr>
      <w:r w:rsidRPr="0031485E">
        <w:rPr>
          <w:rFonts w:asciiTheme="majorBidi" w:hAnsiTheme="majorBidi" w:cstheme="majorBidi"/>
          <w:b/>
          <w:bCs/>
          <w:sz w:val="24"/>
          <w:szCs w:val="24"/>
        </w:rPr>
        <w:t>Notion de récepteur</w:t>
      </w:r>
    </w:p>
    <w:p w:rsidR="00E95167" w:rsidRPr="00356355" w:rsidRDefault="00E95167" w:rsidP="00DA7F49">
      <w:pPr>
        <w:autoSpaceDE w:val="0"/>
        <w:autoSpaceDN w:val="0"/>
        <w:adjustRightInd w:val="0"/>
        <w:spacing w:after="0" w:line="360" w:lineRule="auto"/>
        <w:ind w:firstLine="567"/>
        <w:jc w:val="both"/>
        <w:rPr>
          <w:rFonts w:asciiTheme="majorBidi" w:hAnsiTheme="majorBidi" w:cstheme="majorBidi"/>
          <w:sz w:val="24"/>
          <w:szCs w:val="24"/>
        </w:rPr>
      </w:pPr>
      <w:r w:rsidRPr="00356355">
        <w:rPr>
          <w:rFonts w:asciiTheme="majorBidi" w:hAnsiTheme="majorBidi" w:cstheme="majorBidi"/>
          <w:sz w:val="24"/>
          <w:szCs w:val="24"/>
        </w:rPr>
        <w:t>Les récepteurs sont des macromolécules protéiques (</w:t>
      </w:r>
      <w:proofErr w:type="spellStart"/>
      <w:r w:rsidRPr="00356355">
        <w:rPr>
          <w:rFonts w:asciiTheme="majorBidi" w:hAnsiTheme="majorBidi" w:cstheme="majorBidi"/>
          <w:sz w:val="24"/>
          <w:szCs w:val="24"/>
        </w:rPr>
        <w:t>glyco</w:t>
      </w:r>
      <w:proofErr w:type="spellEnd"/>
      <w:r w:rsidRPr="00356355">
        <w:rPr>
          <w:rFonts w:asciiTheme="majorBidi" w:hAnsiTheme="majorBidi" w:cstheme="majorBidi"/>
          <w:sz w:val="24"/>
          <w:szCs w:val="24"/>
        </w:rPr>
        <w:t xml:space="preserve"> ou lipoprotéiques) membranaires ou intracellulaires capables de reconnaître et de fixer de façon spécifique des médiateurs (ou ligands) endogènes ou exogènes. La fixation du médiateur déclenche une réponse biologique obtenue par l’intermédiaire d’u</w:t>
      </w:r>
      <w:r w:rsidR="00AA5269" w:rsidRPr="00356355">
        <w:rPr>
          <w:rFonts w:asciiTheme="majorBidi" w:hAnsiTheme="majorBidi" w:cstheme="majorBidi"/>
          <w:sz w:val="24"/>
          <w:szCs w:val="24"/>
        </w:rPr>
        <w:t>n effecteur</w:t>
      </w:r>
      <w:r w:rsidR="003B6A52">
        <w:rPr>
          <w:rFonts w:asciiTheme="majorBidi" w:hAnsiTheme="majorBidi" w:cstheme="majorBidi"/>
          <w:sz w:val="24"/>
          <w:szCs w:val="24"/>
        </w:rPr>
        <w:t>.</w:t>
      </w:r>
      <w:r w:rsidR="00AA5269" w:rsidRPr="00356355">
        <w:rPr>
          <w:rFonts w:asciiTheme="majorBidi" w:hAnsiTheme="majorBidi" w:cstheme="majorBidi"/>
          <w:sz w:val="24"/>
          <w:szCs w:val="24"/>
        </w:rPr>
        <w:t xml:space="preserve"> </w:t>
      </w:r>
    </w:p>
    <w:p w:rsidR="005364FE" w:rsidRPr="00356355" w:rsidRDefault="0010416D" w:rsidP="00DA7F49">
      <w:pPr>
        <w:autoSpaceDE w:val="0"/>
        <w:autoSpaceDN w:val="0"/>
        <w:adjustRightInd w:val="0"/>
        <w:spacing w:after="0" w:line="360" w:lineRule="auto"/>
        <w:ind w:firstLine="567"/>
        <w:jc w:val="both"/>
        <w:rPr>
          <w:rFonts w:asciiTheme="majorBidi" w:hAnsiTheme="majorBidi" w:cstheme="majorBidi"/>
          <w:sz w:val="24"/>
          <w:szCs w:val="24"/>
        </w:rPr>
      </w:pPr>
      <w:r w:rsidRPr="00356355">
        <w:rPr>
          <w:rFonts w:asciiTheme="majorBidi" w:hAnsiTheme="majorBidi" w:cstheme="majorBidi"/>
          <w:sz w:val="24"/>
          <w:szCs w:val="24"/>
        </w:rPr>
        <w:t>Scientifiquement la pharmacologie définit un récepteur comme un transducteur</w:t>
      </w:r>
      <w:r w:rsidR="00396084" w:rsidRPr="00356355">
        <w:rPr>
          <w:rFonts w:asciiTheme="majorBidi" w:hAnsiTheme="majorBidi" w:cstheme="majorBidi"/>
          <w:sz w:val="24"/>
          <w:szCs w:val="24"/>
        </w:rPr>
        <w:t xml:space="preserve"> biologique convertissant le signal d’entrer en </w:t>
      </w:r>
      <w:r w:rsidR="005364FE" w:rsidRPr="00356355">
        <w:rPr>
          <w:rFonts w:asciiTheme="majorBidi" w:hAnsiTheme="majorBidi" w:cstheme="majorBidi"/>
          <w:sz w:val="24"/>
          <w:szCs w:val="24"/>
        </w:rPr>
        <w:t>une</w:t>
      </w:r>
      <w:r w:rsidR="00396084" w:rsidRPr="00356355">
        <w:rPr>
          <w:rFonts w:asciiTheme="majorBidi" w:hAnsiTheme="majorBidi" w:cstheme="majorBidi"/>
          <w:sz w:val="24"/>
          <w:szCs w:val="24"/>
        </w:rPr>
        <w:t xml:space="preserve"> réponse biologique.</w:t>
      </w:r>
    </w:p>
    <w:p w:rsidR="005364FE" w:rsidRPr="0031485E" w:rsidRDefault="005364FE" w:rsidP="0031485E">
      <w:pPr>
        <w:pStyle w:val="Paragraphedeliste"/>
        <w:numPr>
          <w:ilvl w:val="0"/>
          <w:numId w:val="6"/>
        </w:numPr>
        <w:autoSpaceDE w:val="0"/>
        <w:autoSpaceDN w:val="0"/>
        <w:adjustRightInd w:val="0"/>
        <w:spacing w:after="0" w:line="360" w:lineRule="auto"/>
        <w:jc w:val="both"/>
        <w:rPr>
          <w:rFonts w:asciiTheme="majorBidi" w:hAnsiTheme="majorBidi" w:cstheme="majorBidi"/>
          <w:b/>
          <w:bCs/>
          <w:sz w:val="24"/>
          <w:szCs w:val="24"/>
        </w:rPr>
      </w:pPr>
      <w:r w:rsidRPr="0031485E">
        <w:rPr>
          <w:rFonts w:asciiTheme="majorBidi" w:hAnsiTheme="majorBidi" w:cstheme="majorBidi"/>
          <w:b/>
          <w:bCs/>
          <w:sz w:val="24"/>
          <w:szCs w:val="24"/>
        </w:rPr>
        <w:t>Fixation de la drogue sur son récepteur</w:t>
      </w:r>
    </w:p>
    <w:p w:rsidR="005364FE" w:rsidRPr="00356355" w:rsidRDefault="0031485E" w:rsidP="0031485E">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2</w:t>
      </w:r>
      <w:r w:rsidR="007840E1">
        <w:rPr>
          <w:rFonts w:asciiTheme="majorBidi" w:hAnsiTheme="majorBidi" w:cstheme="majorBidi"/>
          <w:b/>
          <w:bCs/>
          <w:sz w:val="24"/>
          <w:szCs w:val="24"/>
        </w:rPr>
        <w:t>.1.</w:t>
      </w:r>
      <w:r w:rsidR="005364FE" w:rsidRPr="00356355">
        <w:rPr>
          <w:rFonts w:asciiTheme="majorBidi" w:hAnsiTheme="majorBidi" w:cstheme="majorBidi"/>
          <w:b/>
          <w:bCs/>
          <w:sz w:val="24"/>
          <w:szCs w:val="24"/>
        </w:rPr>
        <w:t xml:space="preserve"> Localisation des récepteurs </w:t>
      </w:r>
    </w:p>
    <w:p w:rsidR="001F7E70" w:rsidRPr="00356355" w:rsidRDefault="001F7E70" w:rsidP="00356355">
      <w:pPr>
        <w:autoSpaceDE w:val="0"/>
        <w:autoSpaceDN w:val="0"/>
        <w:adjustRightInd w:val="0"/>
        <w:spacing w:after="0" w:line="360" w:lineRule="auto"/>
        <w:jc w:val="both"/>
        <w:rPr>
          <w:rFonts w:asciiTheme="majorBidi" w:hAnsiTheme="majorBidi" w:cstheme="majorBidi"/>
          <w:b/>
          <w:bCs/>
          <w:sz w:val="24"/>
          <w:szCs w:val="24"/>
        </w:rPr>
      </w:pPr>
      <w:r w:rsidRPr="00356355">
        <w:rPr>
          <w:rFonts w:asciiTheme="majorBidi" w:hAnsiTheme="majorBidi" w:cstheme="majorBidi"/>
          <w:sz w:val="24"/>
          <w:szCs w:val="24"/>
        </w:rPr>
        <w:t>Les récepteurs sont localisés :</w:t>
      </w:r>
    </w:p>
    <w:p w:rsidR="001F7E70" w:rsidRPr="00356355" w:rsidRDefault="001F7E70" w:rsidP="00356355">
      <w:pPr>
        <w:pStyle w:val="Paragraphedeliste"/>
        <w:numPr>
          <w:ilvl w:val="0"/>
          <w:numId w:val="3"/>
        </w:numPr>
        <w:autoSpaceDE w:val="0"/>
        <w:autoSpaceDN w:val="0"/>
        <w:adjustRightInd w:val="0"/>
        <w:spacing w:after="0" w:line="360" w:lineRule="auto"/>
        <w:ind w:left="426" w:hanging="284"/>
        <w:jc w:val="both"/>
        <w:rPr>
          <w:rFonts w:asciiTheme="majorBidi" w:hAnsiTheme="majorBidi" w:cstheme="majorBidi"/>
          <w:sz w:val="24"/>
          <w:szCs w:val="24"/>
        </w:rPr>
      </w:pPr>
      <w:r w:rsidRPr="00356355">
        <w:rPr>
          <w:rFonts w:asciiTheme="majorBidi" w:hAnsiTheme="majorBidi" w:cstheme="majorBidi"/>
          <w:b/>
          <w:bCs/>
          <w:sz w:val="24"/>
          <w:szCs w:val="24"/>
        </w:rPr>
        <w:t xml:space="preserve">dans la membrane plasmique : </w:t>
      </w:r>
      <w:r w:rsidR="00F65692" w:rsidRPr="00356355">
        <w:rPr>
          <w:rFonts w:asciiTheme="majorBidi" w:hAnsiTheme="majorBidi" w:cstheme="majorBidi"/>
          <w:sz w:val="24"/>
          <w:szCs w:val="24"/>
        </w:rPr>
        <w:t xml:space="preserve">ce sont des </w:t>
      </w:r>
      <w:r w:rsidR="00F65692" w:rsidRPr="00356355">
        <w:rPr>
          <w:rFonts w:asciiTheme="majorBidi" w:hAnsiTheme="majorBidi" w:cstheme="majorBidi"/>
          <w:b/>
          <w:bCs/>
          <w:sz w:val="24"/>
          <w:szCs w:val="24"/>
        </w:rPr>
        <w:t xml:space="preserve">récepteurs transmembranaires </w:t>
      </w:r>
      <w:r w:rsidRPr="00356355">
        <w:rPr>
          <w:rFonts w:asciiTheme="majorBidi" w:hAnsiTheme="majorBidi" w:cstheme="majorBidi"/>
          <w:sz w:val="24"/>
          <w:szCs w:val="24"/>
        </w:rPr>
        <w:t>qui sont classés en :</w:t>
      </w:r>
    </w:p>
    <w:p w:rsidR="001F7E70" w:rsidRPr="00356355" w:rsidRDefault="001F7E70" w:rsidP="00356355">
      <w:pPr>
        <w:pStyle w:val="Paragraphedeliste"/>
        <w:numPr>
          <w:ilvl w:val="0"/>
          <w:numId w:val="4"/>
        </w:numPr>
        <w:autoSpaceDE w:val="0"/>
        <w:autoSpaceDN w:val="0"/>
        <w:adjustRightInd w:val="0"/>
        <w:spacing w:after="0" w:line="360" w:lineRule="auto"/>
        <w:jc w:val="both"/>
        <w:rPr>
          <w:rFonts w:asciiTheme="majorBidi" w:hAnsiTheme="majorBidi" w:cstheme="majorBidi"/>
          <w:sz w:val="24"/>
          <w:szCs w:val="24"/>
        </w:rPr>
      </w:pPr>
      <w:r w:rsidRPr="00356355">
        <w:rPr>
          <w:rFonts w:asciiTheme="majorBidi" w:hAnsiTheme="majorBidi" w:cstheme="majorBidi"/>
          <w:b/>
          <w:bCs/>
          <w:sz w:val="24"/>
          <w:szCs w:val="24"/>
        </w:rPr>
        <w:t xml:space="preserve">Récepteurs à activité de canal ionique </w:t>
      </w:r>
      <w:r w:rsidRPr="00356355">
        <w:rPr>
          <w:rFonts w:asciiTheme="majorBidi" w:hAnsiTheme="majorBidi" w:cstheme="majorBidi"/>
          <w:sz w:val="24"/>
          <w:szCs w:val="24"/>
        </w:rPr>
        <w:t xml:space="preserve">: ce sont des récepteurs polymériques dont les sous unités subissent un changement </w:t>
      </w:r>
      <w:proofErr w:type="spellStart"/>
      <w:r w:rsidRPr="00356355">
        <w:rPr>
          <w:rFonts w:asciiTheme="majorBidi" w:hAnsiTheme="majorBidi" w:cstheme="majorBidi"/>
          <w:sz w:val="24"/>
          <w:szCs w:val="24"/>
        </w:rPr>
        <w:t>conformationnel</w:t>
      </w:r>
      <w:proofErr w:type="spellEnd"/>
      <w:r w:rsidRPr="00356355">
        <w:rPr>
          <w:rFonts w:asciiTheme="majorBidi" w:hAnsiTheme="majorBidi" w:cstheme="majorBidi"/>
          <w:sz w:val="24"/>
          <w:szCs w:val="24"/>
        </w:rPr>
        <w:t xml:space="preserve"> l</w:t>
      </w:r>
      <w:r w:rsidR="00B72913" w:rsidRPr="00356355">
        <w:rPr>
          <w:rFonts w:asciiTheme="majorBidi" w:hAnsiTheme="majorBidi" w:cstheme="majorBidi"/>
          <w:sz w:val="24"/>
          <w:szCs w:val="24"/>
        </w:rPr>
        <w:t>ors de la fixation de ligand</w:t>
      </w:r>
      <w:r w:rsidRPr="00356355">
        <w:rPr>
          <w:rFonts w:asciiTheme="majorBidi" w:hAnsiTheme="majorBidi" w:cstheme="majorBidi"/>
          <w:sz w:val="24"/>
          <w:szCs w:val="24"/>
        </w:rPr>
        <w:t xml:space="preserve">, ce qui permet le passage d’ions. </w:t>
      </w:r>
    </w:p>
    <w:p w:rsidR="001F7E70" w:rsidRPr="00356355" w:rsidRDefault="001F7E70" w:rsidP="00356355">
      <w:pPr>
        <w:pStyle w:val="Paragraphedeliste"/>
        <w:numPr>
          <w:ilvl w:val="0"/>
          <w:numId w:val="4"/>
        </w:numPr>
        <w:autoSpaceDE w:val="0"/>
        <w:autoSpaceDN w:val="0"/>
        <w:adjustRightInd w:val="0"/>
        <w:spacing w:after="0" w:line="360" w:lineRule="auto"/>
        <w:jc w:val="both"/>
        <w:rPr>
          <w:rFonts w:asciiTheme="majorBidi" w:hAnsiTheme="majorBidi" w:cstheme="majorBidi"/>
          <w:sz w:val="24"/>
          <w:szCs w:val="24"/>
        </w:rPr>
      </w:pPr>
      <w:r w:rsidRPr="00356355">
        <w:rPr>
          <w:rFonts w:asciiTheme="majorBidi" w:hAnsiTheme="majorBidi" w:cstheme="majorBidi"/>
          <w:b/>
          <w:bCs/>
          <w:sz w:val="24"/>
          <w:szCs w:val="24"/>
        </w:rPr>
        <w:t xml:space="preserve">Récepteurs monomériques à 7 domaines transmembranaires : </w:t>
      </w:r>
      <w:r w:rsidRPr="00356355">
        <w:rPr>
          <w:rFonts w:asciiTheme="majorBidi" w:hAnsiTheme="majorBidi" w:cstheme="majorBidi"/>
          <w:sz w:val="24"/>
          <w:szCs w:val="24"/>
        </w:rPr>
        <w:t>ils sont couplés aux protéines G. Leur stimulation induit une interaction du récepteur avec une protéine G, ce qui induit ensuite une producti</w:t>
      </w:r>
      <w:r w:rsidR="008A6B0A">
        <w:rPr>
          <w:rFonts w:asciiTheme="majorBidi" w:hAnsiTheme="majorBidi" w:cstheme="majorBidi"/>
          <w:sz w:val="24"/>
          <w:szCs w:val="24"/>
        </w:rPr>
        <w:t>on de second</w:t>
      </w:r>
      <w:r w:rsidR="0032143A">
        <w:rPr>
          <w:rFonts w:asciiTheme="majorBidi" w:hAnsiTheme="majorBidi" w:cstheme="majorBidi"/>
          <w:sz w:val="24"/>
          <w:szCs w:val="24"/>
        </w:rPr>
        <w:t>s</w:t>
      </w:r>
      <w:r w:rsidR="008A6B0A">
        <w:rPr>
          <w:rFonts w:asciiTheme="majorBidi" w:hAnsiTheme="majorBidi" w:cstheme="majorBidi"/>
          <w:sz w:val="24"/>
          <w:szCs w:val="24"/>
        </w:rPr>
        <w:t xml:space="preserve"> messager</w:t>
      </w:r>
      <w:r w:rsidR="0032143A">
        <w:rPr>
          <w:rFonts w:asciiTheme="majorBidi" w:hAnsiTheme="majorBidi" w:cstheme="majorBidi"/>
          <w:sz w:val="24"/>
          <w:szCs w:val="24"/>
        </w:rPr>
        <w:t>s</w:t>
      </w:r>
      <w:r w:rsidRPr="00356355">
        <w:rPr>
          <w:rFonts w:asciiTheme="majorBidi" w:hAnsiTheme="majorBidi" w:cstheme="majorBidi"/>
          <w:sz w:val="24"/>
          <w:szCs w:val="24"/>
        </w:rPr>
        <w:t xml:space="preserve">. </w:t>
      </w:r>
    </w:p>
    <w:p w:rsidR="00CC3F88" w:rsidRPr="00CC3F88" w:rsidRDefault="001F7E70" w:rsidP="00CC3F88">
      <w:pPr>
        <w:pStyle w:val="Paragraphedeliste"/>
        <w:numPr>
          <w:ilvl w:val="0"/>
          <w:numId w:val="4"/>
        </w:numPr>
        <w:autoSpaceDE w:val="0"/>
        <w:autoSpaceDN w:val="0"/>
        <w:adjustRightInd w:val="0"/>
        <w:spacing w:after="0" w:line="360" w:lineRule="auto"/>
        <w:jc w:val="both"/>
        <w:rPr>
          <w:rFonts w:asciiTheme="majorBidi" w:hAnsiTheme="majorBidi" w:cstheme="majorBidi"/>
          <w:sz w:val="24"/>
          <w:szCs w:val="24"/>
        </w:rPr>
      </w:pPr>
      <w:r w:rsidRPr="00356355">
        <w:rPr>
          <w:rFonts w:asciiTheme="majorBidi" w:hAnsiTheme="majorBidi" w:cstheme="majorBidi"/>
          <w:b/>
          <w:bCs/>
          <w:sz w:val="24"/>
          <w:szCs w:val="24"/>
        </w:rPr>
        <w:t xml:space="preserve">Récepteur-enzymes </w:t>
      </w:r>
      <w:r w:rsidRPr="00356355">
        <w:rPr>
          <w:rFonts w:asciiTheme="majorBidi" w:hAnsiTheme="majorBidi" w:cstheme="majorBidi"/>
          <w:b/>
          <w:bCs/>
          <w:i/>
          <w:iCs/>
          <w:sz w:val="24"/>
          <w:szCs w:val="24"/>
        </w:rPr>
        <w:t xml:space="preserve">: </w:t>
      </w:r>
      <w:r w:rsidRPr="00356355">
        <w:rPr>
          <w:rFonts w:asciiTheme="majorBidi" w:hAnsiTheme="majorBidi" w:cstheme="majorBidi"/>
          <w:sz w:val="24"/>
          <w:szCs w:val="24"/>
        </w:rPr>
        <w:t>ils associent sur une même protéine de la membrane plasmique une</w:t>
      </w:r>
      <w:r w:rsidR="001F074B" w:rsidRPr="00356355">
        <w:rPr>
          <w:rFonts w:asciiTheme="majorBidi" w:hAnsiTheme="majorBidi" w:cstheme="majorBidi"/>
          <w:sz w:val="24"/>
          <w:szCs w:val="24"/>
        </w:rPr>
        <w:t xml:space="preserve"> </w:t>
      </w:r>
      <w:r w:rsidRPr="00356355">
        <w:rPr>
          <w:rFonts w:asciiTheme="majorBidi" w:hAnsiTheme="majorBidi" w:cstheme="majorBidi"/>
          <w:sz w:val="24"/>
          <w:szCs w:val="24"/>
        </w:rPr>
        <w:t>fonction réceptrice (liaison du médiateur) et une fonction enzymatique. La fixation du</w:t>
      </w:r>
      <w:r w:rsidR="001F074B" w:rsidRPr="00356355">
        <w:rPr>
          <w:rFonts w:asciiTheme="majorBidi" w:hAnsiTheme="majorBidi" w:cstheme="majorBidi"/>
          <w:sz w:val="24"/>
          <w:szCs w:val="24"/>
        </w:rPr>
        <w:t xml:space="preserve"> </w:t>
      </w:r>
      <w:r w:rsidRPr="00356355">
        <w:rPr>
          <w:rFonts w:asciiTheme="majorBidi" w:hAnsiTheme="majorBidi" w:cstheme="majorBidi"/>
          <w:sz w:val="24"/>
          <w:szCs w:val="24"/>
        </w:rPr>
        <w:t>médiateur sur le récepteur module l’activité enzymatique.</w:t>
      </w:r>
    </w:p>
    <w:p w:rsidR="00492A35" w:rsidRDefault="001F7E70" w:rsidP="00DB1BB9">
      <w:pPr>
        <w:pStyle w:val="Paragraphedeliste"/>
        <w:numPr>
          <w:ilvl w:val="0"/>
          <w:numId w:val="3"/>
        </w:numPr>
        <w:autoSpaceDE w:val="0"/>
        <w:autoSpaceDN w:val="0"/>
        <w:adjustRightInd w:val="0"/>
        <w:spacing w:after="0" w:line="360" w:lineRule="auto"/>
        <w:jc w:val="both"/>
        <w:rPr>
          <w:rFonts w:asciiTheme="majorBidi" w:hAnsiTheme="majorBidi" w:cstheme="majorBidi"/>
          <w:sz w:val="24"/>
          <w:szCs w:val="24"/>
        </w:rPr>
      </w:pPr>
      <w:r w:rsidRPr="00356355">
        <w:rPr>
          <w:rFonts w:asciiTheme="majorBidi" w:hAnsiTheme="majorBidi" w:cstheme="majorBidi"/>
          <w:b/>
          <w:bCs/>
          <w:sz w:val="24"/>
          <w:szCs w:val="24"/>
        </w:rPr>
        <w:t xml:space="preserve">dans le noyau cellulaire ou migrent du cytosol vers le noyau de la cellule : </w:t>
      </w:r>
      <w:r w:rsidRPr="00356355">
        <w:rPr>
          <w:rFonts w:asciiTheme="majorBidi" w:hAnsiTheme="majorBidi" w:cstheme="majorBidi"/>
          <w:sz w:val="24"/>
          <w:szCs w:val="24"/>
        </w:rPr>
        <w:t>ce sont des</w:t>
      </w:r>
      <w:r w:rsidR="00DB1BB9">
        <w:rPr>
          <w:rFonts w:asciiTheme="majorBidi" w:hAnsiTheme="majorBidi" w:cstheme="majorBidi"/>
          <w:sz w:val="24"/>
          <w:szCs w:val="24"/>
        </w:rPr>
        <w:t xml:space="preserve"> </w:t>
      </w:r>
      <w:r w:rsidRPr="00DB1BB9">
        <w:rPr>
          <w:rFonts w:asciiTheme="majorBidi" w:hAnsiTheme="majorBidi" w:cstheme="majorBidi"/>
          <w:b/>
          <w:bCs/>
          <w:sz w:val="24"/>
          <w:szCs w:val="24"/>
        </w:rPr>
        <w:t xml:space="preserve">récepteurs nucléaires </w:t>
      </w:r>
      <w:r w:rsidRPr="00DB1BB9">
        <w:rPr>
          <w:rFonts w:asciiTheme="majorBidi" w:hAnsiTheme="majorBidi" w:cstheme="majorBidi"/>
          <w:sz w:val="24"/>
          <w:szCs w:val="24"/>
        </w:rPr>
        <w:t>:</w:t>
      </w:r>
      <w:r w:rsidR="00DB1BB9">
        <w:rPr>
          <w:rFonts w:asciiTheme="majorBidi" w:hAnsiTheme="majorBidi" w:cstheme="majorBidi"/>
          <w:sz w:val="24"/>
          <w:szCs w:val="24"/>
        </w:rPr>
        <w:t xml:space="preserve"> </w:t>
      </w:r>
    </w:p>
    <w:p w:rsidR="00CC3F88" w:rsidRDefault="00CC3F88" w:rsidP="002E4212">
      <w:pPr>
        <w:autoSpaceDE w:val="0"/>
        <w:autoSpaceDN w:val="0"/>
        <w:adjustRightInd w:val="0"/>
        <w:spacing w:after="0" w:line="360" w:lineRule="auto"/>
        <w:jc w:val="both"/>
        <w:rPr>
          <w:rFonts w:asciiTheme="majorBidi" w:hAnsiTheme="majorBidi" w:cstheme="majorBidi"/>
          <w:sz w:val="24"/>
          <w:szCs w:val="24"/>
        </w:rPr>
      </w:pPr>
    </w:p>
    <w:p w:rsidR="00E95167" w:rsidRDefault="001F7E70" w:rsidP="00B662C1">
      <w:pPr>
        <w:autoSpaceDE w:val="0"/>
        <w:autoSpaceDN w:val="0"/>
        <w:adjustRightInd w:val="0"/>
        <w:spacing w:after="0" w:line="360" w:lineRule="auto"/>
        <w:ind w:firstLine="567"/>
        <w:jc w:val="both"/>
        <w:rPr>
          <w:rFonts w:asciiTheme="majorBidi" w:hAnsiTheme="majorBidi" w:cstheme="majorBidi"/>
          <w:sz w:val="24"/>
          <w:szCs w:val="24"/>
        </w:rPr>
      </w:pPr>
      <w:r w:rsidRPr="002E4212">
        <w:rPr>
          <w:rFonts w:asciiTheme="majorBidi" w:hAnsiTheme="majorBidi" w:cstheme="majorBidi"/>
          <w:sz w:val="24"/>
          <w:szCs w:val="24"/>
        </w:rPr>
        <w:lastRenderedPageBreak/>
        <w:t>Ils se fixent après activation par leur ligand sur l’ADN et induisent des</w:t>
      </w:r>
      <w:r w:rsidR="00A951C9" w:rsidRPr="002E4212">
        <w:rPr>
          <w:rFonts w:asciiTheme="majorBidi" w:hAnsiTheme="majorBidi" w:cstheme="majorBidi"/>
          <w:sz w:val="24"/>
          <w:szCs w:val="24"/>
        </w:rPr>
        <w:t xml:space="preserve"> </w:t>
      </w:r>
      <w:r w:rsidRPr="002E4212">
        <w:rPr>
          <w:rFonts w:asciiTheme="majorBidi" w:hAnsiTheme="majorBidi" w:cstheme="majorBidi"/>
          <w:sz w:val="24"/>
          <w:szCs w:val="24"/>
        </w:rPr>
        <w:t>modifications de</w:t>
      </w:r>
      <w:r w:rsidR="001F074B" w:rsidRPr="002E4212">
        <w:rPr>
          <w:rFonts w:asciiTheme="majorBidi" w:hAnsiTheme="majorBidi" w:cstheme="majorBidi"/>
          <w:sz w:val="24"/>
          <w:szCs w:val="24"/>
        </w:rPr>
        <w:t xml:space="preserve"> </w:t>
      </w:r>
      <w:r w:rsidRPr="002E4212">
        <w:rPr>
          <w:rFonts w:asciiTheme="majorBidi" w:hAnsiTheme="majorBidi" w:cstheme="majorBidi"/>
          <w:sz w:val="24"/>
          <w:szCs w:val="24"/>
        </w:rPr>
        <w:t>la transcription de certains facteurs, par exemple la stimulation de la synthèse de protéines.</w:t>
      </w:r>
    </w:p>
    <w:p w:rsidR="00C772C7" w:rsidRDefault="00C772C7" w:rsidP="00C772C7">
      <w:pPr>
        <w:autoSpaceDE w:val="0"/>
        <w:autoSpaceDN w:val="0"/>
        <w:adjustRightInd w:val="0"/>
        <w:spacing w:after="0" w:line="240" w:lineRule="auto"/>
        <w:jc w:val="both"/>
        <w:rPr>
          <w:rFonts w:asciiTheme="majorBidi" w:hAnsiTheme="majorBidi" w:cstheme="majorBidi"/>
          <w:sz w:val="24"/>
          <w:szCs w:val="24"/>
        </w:rPr>
      </w:pPr>
    </w:p>
    <w:p w:rsidR="000E76EC" w:rsidRDefault="000E76EC" w:rsidP="000E76EC">
      <w:pPr>
        <w:pStyle w:val="Paragraphedeliste"/>
        <w:numPr>
          <w:ilvl w:val="1"/>
          <w:numId w:val="6"/>
        </w:num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 Fixation de la drogue</w:t>
      </w:r>
    </w:p>
    <w:p w:rsidR="000E76EC" w:rsidRPr="000E76EC" w:rsidRDefault="000E76EC" w:rsidP="00B662C1">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Les liaisons qui réagissent l’association sont le plus souvent non covalents </w:t>
      </w:r>
      <w:r w:rsidR="00537ED5">
        <w:rPr>
          <w:rFonts w:asciiTheme="majorBidi" w:hAnsiTheme="majorBidi" w:cstheme="majorBidi"/>
          <w:sz w:val="24"/>
          <w:szCs w:val="24"/>
        </w:rPr>
        <w:t>te</w:t>
      </w:r>
      <w:r w:rsidR="00DB1C53">
        <w:rPr>
          <w:rFonts w:asciiTheme="majorBidi" w:hAnsiTheme="majorBidi" w:cstheme="majorBidi"/>
          <w:sz w:val="24"/>
          <w:szCs w:val="24"/>
        </w:rPr>
        <w:t>l que les liaisons hydrogènes, V</w:t>
      </w:r>
      <w:r w:rsidR="00537ED5">
        <w:rPr>
          <w:rFonts w:asciiTheme="majorBidi" w:hAnsiTheme="majorBidi" w:cstheme="majorBidi"/>
          <w:sz w:val="24"/>
          <w:szCs w:val="24"/>
        </w:rPr>
        <w:t>an</w:t>
      </w:r>
      <w:r w:rsidR="00DB1C53">
        <w:rPr>
          <w:rFonts w:asciiTheme="majorBidi" w:hAnsiTheme="majorBidi" w:cstheme="majorBidi" w:hint="cs"/>
          <w:sz w:val="24"/>
          <w:szCs w:val="24"/>
          <w:rtl/>
        </w:rPr>
        <w:t xml:space="preserve"> </w:t>
      </w:r>
      <w:r w:rsidR="00DB1C53">
        <w:rPr>
          <w:rFonts w:asciiTheme="majorBidi" w:hAnsiTheme="majorBidi" w:cstheme="majorBidi"/>
          <w:sz w:val="24"/>
          <w:szCs w:val="24"/>
        </w:rPr>
        <w:t>D</w:t>
      </w:r>
      <w:r w:rsidR="00537ED5">
        <w:rPr>
          <w:rFonts w:asciiTheme="majorBidi" w:hAnsiTheme="majorBidi" w:cstheme="majorBidi"/>
          <w:sz w:val="24"/>
          <w:szCs w:val="24"/>
        </w:rPr>
        <w:t>er</w:t>
      </w:r>
      <w:r w:rsidR="00DB1C53">
        <w:rPr>
          <w:rFonts w:asciiTheme="majorBidi" w:hAnsiTheme="majorBidi" w:cstheme="majorBidi"/>
          <w:sz w:val="24"/>
          <w:szCs w:val="24"/>
        </w:rPr>
        <w:t xml:space="preserve"> W</w:t>
      </w:r>
      <w:r w:rsidR="00537ED5">
        <w:rPr>
          <w:rFonts w:asciiTheme="majorBidi" w:hAnsiTheme="majorBidi" w:cstheme="majorBidi"/>
          <w:sz w:val="24"/>
          <w:szCs w:val="24"/>
        </w:rPr>
        <w:t xml:space="preserve">alls et les interactions hydrophobiques.  </w:t>
      </w:r>
    </w:p>
    <w:p w:rsidR="00C772C7" w:rsidRPr="000E76EC" w:rsidRDefault="00C772C7" w:rsidP="000E76EC">
      <w:pPr>
        <w:pStyle w:val="Paragraphedeliste"/>
        <w:numPr>
          <w:ilvl w:val="1"/>
          <w:numId w:val="6"/>
        </w:numPr>
        <w:autoSpaceDE w:val="0"/>
        <w:autoSpaceDN w:val="0"/>
        <w:adjustRightInd w:val="0"/>
        <w:spacing w:after="0" w:line="360" w:lineRule="auto"/>
        <w:jc w:val="both"/>
        <w:rPr>
          <w:rFonts w:asciiTheme="majorBidi" w:hAnsiTheme="majorBidi" w:cstheme="majorBidi"/>
          <w:b/>
          <w:bCs/>
          <w:sz w:val="24"/>
          <w:szCs w:val="24"/>
        </w:rPr>
      </w:pPr>
      <w:r w:rsidRPr="000E76EC">
        <w:rPr>
          <w:rFonts w:asciiTheme="majorBidi" w:hAnsiTheme="majorBidi" w:cstheme="majorBidi"/>
          <w:b/>
          <w:bCs/>
          <w:sz w:val="24"/>
          <w:szCs w:val="24"/>
        </w:rPr>
        <w:t xml:space="preserve"> Différents types de récepteurs</w:t>
      </w:r>
    </w:p>
    <w:p w:rsidR="00D4076B" w:rsidRPr="00FE3164" w:rsidRDefault="00D4076B" w:rsidP="003B3E4B">
      <w:pPr>
        <w:pStyle w:val="Paragraphedeliste"/>
        <w:numPr>
          <w:ilvl w:val="0"/>
          <w:numId w:val="3"/>
        </w:numPr>
        <w:autoSpaceDE w:val="0"/>
        <w:autoSpaceDN w:val="0"/>
        <w:adjustRightInd w:val="0"/>
        <w:spacing w:after="0" w:line="360" w:lineRule="auto"/>
        <w:jc w:val="both"/>
        <w:rPr>
          <w:rFonts w:asciiTheme="majorBidi" w:hAnsiTheme="majorBidi" w:cstheme="majorBidi"/>
          <w:b/>
          <w:bCs/>
          <w:sz w:val="24"/>
          <w:szCs w:val="24"/>
        </w:rPr>
      </w:pPr>
      <w:r w:rsidRPr="00FE3164">
        <w:rPr>
          <w:rFonts w:asciiTheme="majorBidi" w:hAnsiTheme="majorBidi" w:cstheme="majorBidi"/>
          <w:b/>
          <w:bCs/>
          <w:sz w:val="24"/>
          <w:szCs w:val="24"/>
        </w:rPr>
        <w:t>Type 1</w:t>
      </w:r>
      <w:r w:rsidR="003B3E4B">
        <w:rPr>
          <w:rFonts w:asciiTheme="majorBidi" w:hAnsiTheme="majorBidi" w:cstheme="majorBidi"/>
          <w:b/>
          <w:bCs/>
          <w:sz w:val="24"/>
          <w:szCs w:val="24"/>
        </w:rPr>
        <w:t> : Récepteur canal</w:t>
      </w:r>
    </w:p>
    <w:p w:rsidR="00D4076B" w:rsidRPr="00FE3164" w:rsidRDefault="00772EDB" w:rsidP="008B1271">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L</w:t>
      </w:r>
      <w:r w:rsidR="00D4076B" w:rsidRPr="00FE3164">
        <w:rPr>
          <w:rFonts w:asciiTheme="majorBidi" w:hAnsiTheme="majorBidi" w:cstheme="majorBidi"/>
          <w:sz w:val="24"/>
          <w:szCs w:val="24"/>
        </w:rPr>
        <w:t>es récepteurs sont couplés directement à un canal ionique situé dans la membrane cellulaire</w:t>
      </w:r>
      <w:r w:rsidR="00CF72DB" w:rsidRPr="00CF72DB">
        <w:rPr>
          <w:rFonts w:asciiTheme="majorBidi" w:hAnsiTheme="majorBidi" w:cstheme="majorBidi"/>
          <w:sz w:val="24"/>
          <w:szCs w:val="24"/>
        </w:rPr>
        <w:t xml:space="preserve"> </w:t>
      </w:r>
      <w:r w:rsidR="00CF72DB" w:rsidRPr="00FE3164">
        <w:rPr>
          <w:rFonts w:asciiTheme="majorBidi" w:hAnsiTheme="majorBidi" w:cstheme="majorBidi"/>
          <w:sz w:val="24"/>
          <w:szCs w:val="24"/>
        </w:rPr>
        <w:t>permettant le passage sélectif de certains ions (Na</w:t>
      </w:r>
      <w:r w:rsidR="00CF72DB" w:rsidRPr="008B1271">
        <w:rPr>
          <w:rFonts w:asciiTheme="majorBidi" w:hAnsiTheme="majorBidi" w:cstheme="majorBidi"/>
          <w:sz w:val="24"/>
          <w:szCs w:val="24"/>
          <w:vertAlign w:val="superscript"/>
        </w:rPr>
        <w:t>+</w:t>
      </w:r>
      <w:r w:rsidR="00CF72DB" w:rsidRPr="00FE3164">
        <w:rPr>
          <w:rFonts w:asciiTheme="majorBidi" w:hAnsiTheme="majorBidi" w:cstheme="majorBidi"/>
          <w:sz w:val="24"/>
          <w:szCs w:val="24"/>
        </w:rPr>
        <w:t>, K</w:t>
      </w:r>
      <w:r w:rsidR="00CF72DB" w:rsidRPr="008B1271">
        <w:rPr>
          <w:rFonts w:asciiTheme="majorBidi" w:hAnsiTheme="majorBidi" w:cstheme="majorBidi"/>
          <w:sz w:val="24"/>
          <w:szCs w:val="24"/>
          <w:vertAlign w:val="superscript"/>
        </w:rPr>
        <w:t>+</w:t>
      </w:r>
      <w:r w:rsidR="00CF72DB" w:rsidRPr="00FE3164">
        <w:rPr>
          <w:rFonts w:asciiTheme="majorBidi" w:hAnsiTheme="majorBidi" w:cstheme="majorBidi"/>
          <w:sz w:val="24"/>
          <w:szCs w:val="24"/>
        </w:rPr>
        <w:t>, Ca</w:t>
      </w:r>
      <w:r w:rsidR="00CF72DB" w:rsidRPr="008B1271">
        <w:rPr>
          <w:rFonts w:asciiTheme="majorBidi" w:hAnsiTheme="majorBidi" w:cstheme="majorBidi"/>
          <w:sz w:val="24"/>
          <w:szCs w:val="24"/>
          <w:vertAlign w:val="superscript"/>
        </w:rPr>
        <w:t>+</w:t>
      </w:r>
      <w:r w:rsidR="008B1271">
        <w:rPr>
          <w:rFonts w:asciiTheme="majorBidi" w:hAnsiTheme="majorBidi" w:cstheme="majorBidi"/>
          <w:sz w:val="24"/>
          <w:szCs w:val="24"/>
          <w:vertAlign w:val="superscript"/>
        </w:rPr>
        <w:t>2</w:t>
      </w:r>
      <w:r w:rsidR="00CF72DB" w:rsidRPr="00FE3164">
        <w:rPr>
          <w:rFonts w:asciiTheme="majorBidi" w:hAnsiTheme="majorBidi" w:cstheme="majorBidi"/>
          <w:sz w:val="24"/>
          <w:szCs w:val="24"/>
        </w:rPr>
        <w:t>, Cl</w:t>
      </w:r>
      <w:r w:rsidR="00CF72DB" w:rsidRPr="008B1271">
        <w:rPr>
          <w:rFonts w:asciiTheme="majorBidi" w:hAnsiTheme="majorBidi" w:cstheme="majorBidi"/>
          <w:sz w:val="24"/>
          <w:szCs w:val="24"/>
          <w:vertAlign w:val="superscript"/>
        </w:rPr>
        <w:t>-</w:t>
      </w:r>
      <w:r w:rsidR="00CF72DB" w:rsidRPr="00FE3164">
        <w:rPr>
          <w:rFonts w:asciiTheme="majorBidi" w:hAnsiTheme="majorBidi" w:cstheme="majorBidi"/>
          <w:sz w:val="24"/>
          <w:szCs w:val="24"/>
        </w:rPr>
        <w:t>)</w:t>
      </w:r>
    </w:p>
    <w:p w:rsidR="00CF72DB" w:rsidRPr="00FE3164" w:rsidRDefault="00D4076B" w:rsidP="00CF72DB">
      <w:pPr>
        <w:spacing w:line="360" w:lineRule="auto"/>
        <w:jc w:val="both"/>
        <w:rPr>
          <w:rFonts w:asciiTheme="majorBidi" w:hAnsiTheme="majorBidi" w:cstheme="majorBidi"/>
          <w:sz w:val="24"/>
          <w:szCs w:val="24"/>
        </w:rPr>
      </w:pPr>
      <w:r w:rsidRPr="00FE3164">
        <w:rPr>
          <w:rFonts w:asciiTheme="majorBidi" w:hAnsiTheme="majorBidi" w:cstheme="majorBidi"/>
          <w:sz w:val="24"/>
          <w:szCs w:val="24"/>
        </w:rPr>
        <w:t>-</w:t>
      </w:r>
      <w:r w:rsidR="00772EDB">
        <w:rPr>
          <w:rFonts w:asciiTheme="majorBidi" w:hAnsiTheme="majorBidi" w:cstheme="majorBidi"/>
          <w:sz w:val="24"/>
          <w:szCs w:val="24"/>
        </w:rPr>
        <w:t xml:space="preserve"> </w:t>
      </w:r>
      <w:r w:rsidR="00CF72DB" w:rsidRPr="00CF72DB">
        <w:rPr>
          <w:rFonts w:asciiTheme="majorBidi" w:hAnsiTheme="majorBidi" w:cstheme="majorBidi"/>
          <w:sz w:val="24"/>
          <w:szCs w:val="24"/>
        </w:rPr>
        <w:t>La liaison du médicament sur un site de reconnaissance d</w:t>
      </w:r>
      <w:r w:rsidR="008B3C8E">
        <w:rPr>
          <w:rFonts w:asciiTheme="majorBidi" w:hAnsiTheme="majorBidi" w:cstheme="majorBidi"/>
          <w:sz w:val="24"/>
          <w:szCs w:val="24"/>
        </w:rPr>
        <w:t>u canal modifie sa conformation, a</w:t>
      </w:r>
      <w:r w:rsidR="00CF72DB" w:rsidRPr="00CF72DB">
        <w:rPr>
          <w:rFonts w:asciiTheme="majorBidi" w:hAnsiTheme="majorBidi" w:cstheme="majorBidi"/>
          <w:sz w:val="24"/>
          <w:szCs w:val="24"/>
        </w:rPr>
        <w:t>insi un canal peut être activé ou inhibé. Donc ces récepteurs communiquent le cytoplasme avec le milieu extracellulaire.</w:t>
      </w:r>
    </w:p>
    <w:p w:rsidR="00E97E56" w:rsidRPr="00E97E56" w:rsidRDefault="00E97E56" w:rsidP="00E97E56">
      <w:pPr>
        <w:spacing w:line="360" w:lineRule="auto"/>
        <w:jc w:val="center"/>
      </w:pPr>
      <w:r w:rsidRPr="00765F80">
        <w:rPr>
          <w:noProof/>
          <w:lang w:eastAsia="fr-FR"/>
        </w:rPr>
        <w:drawing>
          <wp:inline distT="0" distB="0" distL="0" distR="0" wp14:anchorId="4CAC47AE" wp14:editId="0846C910">
            <wp:extent cx="3819525" cy="2019300"/>
            <wp:effectExtent l="0" t="0" r="0" b="0"/>
            <wp:docPr id="32" name="Image 32" descr="http://www.pharmacorama.com/Rubriques/Output/images/Communications_intercellulaires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pharmacorama.com/Rubriques/Output/images/Communications_intercellulairesa3.gif"/>
                    <pic:cNvPicPr>
                      <a:picLocks noChangeAspect="1" noChangeArrowheads="1"/>
                    </pic:cNvPicPr>
                  </pic:nvPicPr>
                  <pic:blipFill>
                    <a:blip r:embed="rId8">
                      <a:lum bright="-30000"/>
                    </a:blip>
                    <a:srcRect/>
                    <a:stretch>
                      <a:fillRect/>
                    </a:stretch>
                  </pic:blipFill>
                  <pic:spPr bwMode="auto">
                    <a:xfrm>
                      <a:off x="0" y="0"/>
                      <a:ext cx="3819525" cy="2019300"/>
                    </a:xfrm>
                    <a:prstGeom prst="rect">
                      <a:avLst/>
                    </a:prstGeom>
                    <a:noFill/>
                    <a:ln w="9525">
                      <a:noFill/>
                      <a:miter lim="800000"/>
                      <a:headEnd/>
                      <a:tailEnd/>
                    </a:ln>
                  </pic:spPr>
                </pic:pic>
              </a:graphicData>
            </a:graphic>
          </wp:inline>
        </w:drawing>
      </w:r>
    </w:p>
    <w:p w:rsidR="00E97E56" w:rsidRPr="003B3E4B" w:rsidRDefault="00E97E56" w:rsidP="003B3E4B">
      <w:pPr>
        <w:spacing w:line="360" w:lineRule="auto"/>
        <w:jc w:val="center"/>
        <w:rPr>
          <w:rFonts w:asciiTheme="majorBidi" w:hAnsiTheme="majorBidi" w:cstheme="majorBidi"/>
          <w:i/>
          <w:iCs/>
          <w:sz w:val="24"/>
          <w:szCs w:val="24"/>
        </w:rPr>
      </w:pPr>
      <w:r w:rsidRPr="003B3E4B">
        <w:rPr>
          <w:rFonts w:asciiTheme="majorBidi" w:hAnsiTheme="majorBidi" w:cstheme="majorBidi"/>
          <w:b/>
          <w:bCs/>
          <w:i/>
          <w:iCs/>
          <w:sz w:val="24"/>
          <w:szCs w:val="24"/>
        </w:rPr>
        <w:t>Figure</w:t>
      </w:r>
      <w:r w:rsidR="003B3E4B" w:rsidRPr="003B3E4B">
        <w:rPr>
          <w:rFonts w:asciiTheme="majorBidi" w:hAnsiTheme="majorBidi" w:cstheme="majorBidi"/>
          <w:b/>
          <w:bCs/>
          <w:i/>
          <w:iCs/>
          <w:sz w:val="24"/>
          <w:szCs w:val="24"/>
        </w:rPr>
        <w:t xml:space="preserve"> 1</w:t>
      </w:r>
      <w:r w:rsidRPr="003B3E4B">
        <w:rPr>
          <w:rFonts w:asciiTheme="majorBidi" w:hAnsiTheme="majorBidi" w:cstheme="majorBidi"/>
          <w:b/>
          <w:bCs/>
          <w:i/>
          <w:iCs/>
          <w:sz w:val="24"/>
          <w:szCs w:val="24"/>
        </w:rPr>
        <w:t xml:space="preserve">: </w:t>
      </w:r>
      <w:r w:rsidR="00E946F2">
        <w:rPr>
          <w:rFonts w:asciiTheme="majorBidi" w:hAnsiTheme="majorBidi" w:cstheme="majorBidi"/>
          <w:i/>
          <w:iCs/>
          <w:sz w:val="24"/>
          <w:szCs w:val="24"/>
        </w:rPr>
        <w:t>R</w:t>
      </w:r>
      <w:r w:rsidRPr="003B3E4B">
        <w:rPr>
          <w:rFonts w:asciiTheme="majorBidi" w:hAnsiTheme="majorBidi" w:cstheme="majorBidi"/>
          <w:i/>
          <w:iCs/>
          <w:sz w:val="24"/>
          <w:szCs w:val="24"/>
        </w:rPr>
        <w:t>eprésentation d’un récepteur canal.</w:t>
      </w:r>
    </w:p>
    <w:p w:rsidR="00FE3164" w:rsidRPr="00FE3164" w:rsidRDefault="008312AA" w:rsidP="003B3E4B">
      <w:pPr>
        <w:pStyle w:val="Paragraphedeliste"/>
        <w:numPr>
          <w:ilvl w:val="0"/>
          <w:numId w:val="3"/>
        </w:numPr>
        <w:autoSpaceDE w:val="0"/>
        <w:autoSpaceDN w:val="0"/>
        <w:adjustRightInd w:val="0"/>
        <w:spacing w:after="0" w:line="360" w:lineRule="auto"/>
        <w:rPr>
          <w:rFonts w:asciiTheme="majorBidi" w:hAnsiTheme="majorBidi" w:cstheme="majorBidi"/>
          <w:sz w:val="24"/>
          <w:szCs w:val="24"/>
        </w:rPr>
      </w:pPr>
      <w:r w:rsidRPr="00FE3164">
        <w:rPr>
          <w:rFonts w:asciiTheme="majorBidi" w:hAnsiTheme="majorBidi" w:cstheme="majorBidi"/>
          <w:b/>
          <w:bCs/>
          <w:sz w:val="24"/>
          <w:szCs w:val="24"/>
        </w:rPr>
        <w:t>Type 2</w:t>
      </w:r>
      <w:r w:rsidR="003B3E4B">
        <w:rPr>
          <w:rFonts w:asciiTheme="majorBidi" w:hAnsiTheme="majorBidi" w:cstheme="majorBidi"/>
          <w:b/>
          <w:bCs/>
          <w:sz w:val="24"/>
          <w:szCs w:val="24"/>
        </w:rPr>
        <w:t xml:space="preserve"> : </w:t>
      </w:r>
      <w:r w:rsidR="00F552A1">
        <w:rPr>
          <w:rFonts w:asciiTheme="majorBidi" w:hAnsiTheme="majorBidi" w:cstheme="majorBidi"/>
          <w:b/>
          <w:bCs/>
          <w:sz w:val="24"/>
          <w:szCs w:val="24"/>
        </w:rPr>
        <w:t>R</w:t>
      </w:r>
      <w:r w:rsidR="003B3E4B" w:rsidRPr="003B3E4B">
        <w:rPr>
          <w:rFonts w:asciiTheme="majorBidi" w:hAnsiTheme="majorBidi" w:cstheme="majorBidi"/>
          <w:b/>
          <w:bCs/>
          <w:sz w:val="24"/>
          <w:szCs w:val="24"/>
        </w:rPr>
        <w:t>écepteur couplé à une protéine G</w:t>
      </w:r>
    </w:p>
    <w:p w:rsidR="00FE3164" w:rsidRPr="00FE3164" w:rsidRDefault="008312AA" w:rsidP="00772EDB">
      <w:pPr>
        <w:autoSpaceDE w:val="0"/>
        <w:autoSpaceDN w:val="0"/>
        <w:adjustRightInd w:val="0"/>
        <w:spacing w:after="0" w:line="360" w:lineRule="auto"/>
        <w:ind w:firstLine="567"/>
        <w:jc w:val="both"/>
        <w:rPr>
          <w:rFonts w:asciiTheme="majorBidi" w:hAnsiTheme="majorBidi" w:cstheme="majorBidi"/>
          <w:sz w:val="24"/>
          <w:szCs w:val="24"/>
        </w:rPr>
      </w:pPr>
      <w:r w:rsidRPr="00FE3164">
        <w:rPr>
          <w:rFonts w:asciiTheme="majorBidi" w:hAnsiTheme="majorBidi" w:cstheme="majorBidi"/>
          <w:sz w:val="24"/>
          <w:szCs w:val="24"/>
        </w:rPr>
        <w:t>Ce type est caractérisé par l’intervention de protéines appelées protéines G.</w:t>
      </w:r>
    </w:p>
    <w:p w:rsidR="00FE3164" w:rsidRDefault="006036E1" w:rsidP="00A951C9">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L</w:t>
      </w:r>
      <w:r w:rsidR="008312AA" w:rsidRPr="00FE3164">
        <w:rPr>
          <w:rFonts w:asciiTheme="majorBidi" w:hAnsiTheme="majorBidi" w:cstheme="majorBidi"/>
          <w:sz w:val="24"/>
          <w:szCs w:val="24"/>
        </w:rPr>
        <w:t>e récepteur est situé sur la face externe de la membrane cytoplasmique</w:t>
      </w:r>
    </w:p>
    <w:p w:rsidR="008312AA" w:rsidRPr="00FE3164" w:rsidRDefault="006036E1" w:rsidP="00FB3120">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U</w:t>
      </w:r>
      <w:r w:rsidR="008312AA" w:rsidRPr="00FE3164">
        <w:rPr>
          <w:rFonts w:asciiTheme="majorBidi" w:hAnsiTheme="majorBidi" w:cstheme="majorBidi"/>
          <w:sz w:val="24"/>
          <w:szCs w:val="24"/>
        </w:rPr>
        <w:t>ne protéine</w:t>
      </w:r>
      <w:r w:rsidR="00FB3120">
        <w:rPr>
          <w:rFonts w:asciiTheme="majorBidi" w:hAnsiTheme="majorBidi" w:cstheme="majorBidi"/>
          <w:sz w:val="24"/>
          <w:szCs w:val="24"/>
        </w:rPr>
        <w:t xml:space="preserve"> G</w:t>
      </w:r>
      <w:r w:rsidR="008312AA" w:rsidRPr="00FE3164">
        <w:rPr>
          <w:rFonts w:asciiTheme="majorBidi" w:hAnsiTheme="majorBidi" w:cstheme="majorBidi"/>
          <w:sz w:val="24"/>
          <w:szCs w:val="24"/>
        </w:rPr>
        <w:t xml:space="preserve"> située dans la membrane cellulaire s'interpose entre le récepteur et</w:t>
      </w:r>
      <w:r w:rsidR="00FE3164">
        <w:rPr>
          <w:rFonts w:asciiTheme="majorBidi" w:hAnsiTheme="majorBidi" w:cstheme="majorBidi"/>
          <w:sz w:val="24"/>
          <w:szCs w:val="24"/>
        </w:rPr>
        <w:t xml:space="preserve"> </w:t>
      </w:r>
      <w:r w:rsidR="00F23E8F">
        <w:rPr>
          <w:rFonts w:asciiTheme="majorBidi" w:hAnsiTheme="majorBidi" w:cstheme="majorBidi"/>
          <w:sz w:val="24"/>
          <w:szCs w:val="24"/>
        </w:rPr>
        <w:t>l'effecteur (enzyme,</w:t>
      </w:r>
      <w:r w:rsidR="008312AA" w:rsidRPr="00FE3164">
        <w:rPr>
          <w:rFonts w:asciiTheme="majorBidi" w:hAnsiTheme="majorBidi" w:cstheme="majorBidi"/>
          <w:sz w:val="24"/>
          <w:szCs w:val="24"/>
        </w:rPr>
        <w:t xml:space="preserve"> canal ionique</w:t>
      </w:r>
      <w:r w:rsidR="00F23E8F">
        <w:rPr>
          <w:rFonts w:asciiTheme="majorBidi" w:hAnsiTheme="majorBidi" w:cstheme="majorBidi"/>
          <w:sz w:val="24"/>
          <w:szCs w:val="24"/>
        </w:rPr>
        <w:t>, transporteur</w:t>
      </w:r>
      <w:r w:rsidR="008312AA" w:rsidRPr="00FE3164">
        <w:rPr>
          <w:rFonts w:asciiTheme="majorBidi" w:hAnsiTheme="majorBidi" w:cstheme="majorBidi"/>
          <w:sz w:val="24"/>
          <w:szCs w:val="24"/>
        </w:rPr>
        <w:t>).</w:t>
      </w:r>
    </w:p>
    <w:p w:rsidR="00EA77A0" w:rsidRDefault="0008626B" w:rsidP="00EA77A0">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8312AA" w:rsidRPr="00FE3164">
        <w:rPr>
          <w:rFonts w:asciiTheme="majorBidi" w:hAnsiTheme="majorBidi" w:cstheme="majorBidi"/>
          <w:sz w:val="24"/>
          <w:szCs w:val="24"/>
        </w:rPr>
        <w:t>L'activation du récepteur entraîne une m</w:t>
      </w:r>
      <w:r>
        <w:rPr>
          <w:rFonts w:asciiTheme="majorBidi" w:hAnsiTheme="majorBidi" w:cstheme="majorBidi"/>
          <w:sz w:val="24"/>
          <w:szCs w:val="24"/>
        </w:rPr>
        <w:t>odification de la protéine G (activation</w:t>
      </w:r>
      <w:r w:rsidR="008312AA" w:rsidRPr="00FE3164">
        <w:rPr>
          <w:rFonts w:asciiTheme="majorBidi" w:hAnsiTheme="majorBidi" w:cstheme="majorBidi"/>
          <w:sz w:val="24"/>
          <w:szCs w:val="24"/>
        </w:rPr>
        <w:t>)</w:t>
      </w:r>
    </w:p>
    <w:p w:rsidR="008312AA" w:rsidRDefault="0008626B" w:rsidP="00EA77A0">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8312AA" w:rsidRPr="00FE3164">
        <w:rPr>
          <w:rFonts w:asciiTheme="majorBidi" w:hAnsiTheme="majorBidi" w:cstheme="majorBidi"/>
          <w:sz w:val="24"/>
          <w:szCs w:val="24"/>
        </w:rPr>
        <w:t>La protéine G modifiée agit sur sa cible (enzyme, canal ionique</w:t>
      </w:r>
      <w:r w:rsidR="00F23E8F">
        <w:rPr>
          <w:rFonts w:asciiTheme="majorBidi" w:hAnsiTheme="majorBidi" w:cstheme="majorBidi"/>
          <w:sz w:val="24"/>
          <w:szCs w:val="24"/>
        </w:rPr>
        <w:t>, transporteur</w:t>
      </w:r>
      <w:r w:rsidR="008312AA" w:rsidRPr="00FE3164">
        <w:rPr>
          <w:rFonts w:asciiTheme="majorBidi" w:hAnsiTheme="majorBidi" w:cstheme="majorBidi"/>
          <w:sz w:val="24"/>
          <w:szCs w:val="24"/>
        </w:rPr>
        <w:t>)</w:t>
      </w:r>
    </w:p>
    <w:p w:rsidR="00D4076B" w:rsidRPr="00FE3164" w:rsidRDefault="00AE4BB2" w:rsidP="00AE4BB2">
      <w:pPr>
        <w:spacing w:line="360" w:lineRule="auto"/>
        <w:jc w:val="both"/>
        <w:rPr>
          <w:rFonts w:asciiTheme="majorBidi" w:hAnsiTheme="majorBidi" w:cstheme="majorBidi"/>
          <w:sz w:val="24"/>
          <w:szCs w:val="24"/>
        </w:rPr>
      </w:pPr>
      <w:r>
        <w:rPr>
          <w:rFonts w:asciiTheme="majorBidi" w:hAnsiTheme="majorBidi" w:cstheme="majorBidi"/>
          <w:noProof/>
          <w:sz w:val="24"/>
          <w:szCs w:val="24"/>
          <w:lang w:eastAsia="fr-FR"/>
        </w:rPr>
        <w:lastRenderedPageBreak/>
        <w:drawing>
          <wp:inline distT="0" distB="0" distL="0" distR="0" wp14:anchorId="7BEC82D5" wp14:editId="3B641027">
            <wp:extent cx="5297805" cy="3365500"/>
            <wp:effectExtent l="0" t="0" r="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7805" cy="3365500"/>
                    </a:xfrm>
                    <a:prstGeom prst="rect">
                      <a:avLst/>
                    </a:prstGeom>
                    <a:noFill/>
                  </pic:spPr>
                </pic:pic>
              </a:graphicData>
            </a:graphic>
          </wp:inline>
        </w:drawing>
      </w:r>
    </w:p>
    <w:p w:rsidR="00AE4BB2" w:rsidRPr="003B3E4B" w:rsidRDefault="00D4076B" w:rsidP="003B3E4B">
      <w:pPr>
        <w:spacing w:line="360" w:lineRule="auto"/>
        <w:jc w:val="center"/>
        <w:rPr>
          <w:rFonts w:asciiTheme="majorBidi" w:hAnsiTheme="majorBidi" w:cstheme="majorBidi"/>
          <w:i/>
          <w:iCs/>
          <w:sz w:val="24"/>
          <w:szCs w:val="24"/>
        </w:rPr>
      </w:pPr>
      <w:r w:rsidRPr="003B3E4B">
        <w:rPr>
          <w:rFonts w:asciiTheme="majorBidi" w:hAnsiTheme="majorBidi" w:cstheme="majorBidi"/>
          <w:b/>
          <w:bCs/>
          <w:i/>
          <w:iCs/>
          <w:sz w:val="24"/>
          <w:szCs w:val="24"/>
        </w:rPr>
        <w:t>Figure</w:t>
      </w:r>
      <w:r w:rsidR="003B3E4B" w:rsidRPr="003B3E4B">
        <w:rPr>
          <w:rFonts w:asciiTheme="majorBidi" w:hAnsiTheme="majorBidi" w:cstheme="majorBidi"/>
          <w:b/>
          <w:bCs/>
          <w:i/>
          <w:iCs/>
          <w:sz w:val="24"/>
          <w:szCs w:val="24"/>
        </w:rPr>
        <w:t xml:space="preserve"> 2</w:t>
      </w:r>
      <w:r w:rsidRPr="003B3E4B">
        <w:rPr>
          <w:rFonts w:asciiTheme="majorBidi" w:hAnsiTheme="majorBidi" w:cstheme="majorBidi"/>
          <w:b/>
          <w:bCs/>
          <w:i/>
          <w:iCs/>
          <w:sz w:val="24"/>
          <w:szCs w:val="24"/>
        </w:rPr>
        <w:t xml:space="preserve">: </w:t>
      </w:r>
      <w:r w:rsidR="00AE4BB2" w:rsidRPr="003B3E4B">
        <w:rPr>
          <w:rFonts w:asciiTheme="majorBidi" w:hAnsiTheme="majorBidi" w:cstheme="majorBidi"/>
          <w:i/>
          <w:iCs/>
          <w:sz w:val="24"/>
          <w:szCs w:val="24"/>
        </w:rPr>
        <w:t>Représentation d’un récepteur couplé à une protéine G.</w:t>
      </w:r>
    </w:p>
    <w:p w:rsidR="00C50ECC" w:rsidRPr="00EA77A0" w:rsidRDefault="00C50ECC" w:rsidP="0075426B">
      <w:pPr>
        <w:spacing w:line="360" w:lineRule="auto"/>
        <w:ind w:firstLine="567"/>
        <w:jc w:val="both"/>
        <w:rPr>
          <w:rFonts w:asciiTheme="majorBidi" w:hAnsiTheme="majorBidi" w:cstheme="majorBidi"/>
          <w:sz w:val="24"/>
          <w:szCs w:val="24"/>
        </w:rPr>
      </w:pPr>
      <w:r w:rsidRPr="00EA77A0">
        <w:rPr>
          <w:rFonts w:asciiTheme="majorBidi" w:hAnsiTheme="majorBidi" w:cstheme="majorBidi"/>
          <w:sz w:val="24"/>
          <w:szCs w:val="24"/>
        </w:rPr>
        <w:t xml:space="preserve">Les </w:t>
      </w:r>
      <w:r w:rsidR="00DE0D1F">
        <w:rPr>
          <w:rFonts w:asciiTheme="majorBidi" w:hAnsiTheme="majorBidi" w:cstheme="majorBidi"/>
          <w:sz w:val="24"/>
          <w:szCs w:val="24"/>
        </w:rPr>
        <w:t>récepteurs couplés aux protéines G</w:t>
      </w:r>
      <w:r w:rsidRPr="00EA77A0">
        <w:rPr>
          <w:rFonts w:asciiTheme="majorBidi" w:hAnsiTheme="majorBidi" w:cstheme="majorBidi"/>
          <w:sz w:val="24"/>
          <w:szCs w:val="24"/>
        </w:rPr>
        <w:t xml:space="preserve"> ont des caractéristiques structurales communes :</w:t>
      </w:r>
    </w:p>
    <w:p w:rsidR="00B70F82" w:rsidRDefault="00C50ECC" w:rsidP="00B70F82">
      <w:pPr>
        <w:pStyle w:val="Paragraphedeliste"/>
        <w:numPr>
          <w:ilvl w:val="0"/>
          <w:numId w:val="12"/>
        </w:numPr>
        <w:spacing w:after="0" w:line="360" w:lineRule="auto"/>
        <w:jc w:val="both"/>
        <w:rPr>
          <w:rFonts w:asciiTheme="majorBidi" w:hAnsiTheme="majorBidi" w:cstheme="majorBidi"/>
          <w:sz w:val="24"/>
          <w:szCs w:val="24"/>
        </w:rPr>
      </w:pPr>
      <w:r w:rsidRPr="00B70F82">
        <w:rPr>
          <w:rFonts w:asciiTheme="majorBidi" w:hAnsiTheme="majorBidi" w:cstheme="majorBidi"/>
          <w:sz w:val="24"/>
          <w:szCs w:val="24"/>
        </w:rPr>
        <w:t>Une seule chaine polypeptidique.</w:t>
      </w:r>
    </w:p>
    <w:p w:rsidR="00B70F82" w:rsidRDefault="00C50ECC" w:rsidP="00B70F82">
      <w:pPr>
        <w:pStyle w:val="Paragraphedeliste"/>
        <w:numPr>
          <w:ilvl w:val="0"/>
          <w:numId w:val="12"/>
        </w:numPr>
        <w:spacing w:after="0" w:line="360" w:lineRule="auto"/>
        <w:jc w:val="both"/>
        <w:rPr>
          <w:rFonts w:asciiTheme="majorBidi" w:hAnsiTheme="majorBidi" w:cstheme="majorBidi"/>
          <w:sz w:val="24"/>
          <w:szCs w:val="24"/>
        </w:rPr>
      </w:pPr>
      <w:r w:rsidRPr="00B70F82">
        <w:rPr>
          <w:rFonts w:asciiTheme="majorBidi" w:hAnsiTheme="majorBidi" w:cstheme="majorBidi"/>
          <w:sz w:val="24"/>
          <w:szCs w:val="24"/>
        </w:rPr>
        <w:t>Un domaine N-terminal extracellulaire.</w:t>
      </w:r>
    </w:p>
    <w:p w:rsidR="00B70F82" w:rsidRDefault="00C50ECC" w:rsidP="00B70F82">
      <w:pPr>
        <w:pStyle w:val="Paragraphedeliste"/>
        <w:numPr>
          <w:ilvl w:val="0"/>
          <w:numId w:val="12"/>
        </w:numPr>
        <w:spacing w:after="0" w:line="360" w:lineRule="auto"/>
        <w:jc w:val="both"/>
        <w:rPr>
          <w:rFonts w:asciiTheme="majorBidi" w:hAnsiTheme="majorBidi" w:cstheme="majorBidi"/>
          <w:sz w:val="24"/>
          <w:szCs w:val="24"/>
        </w:rPr>
      </w:pPr>
      <w:r w:rsidRPr="00B70F82">
        <w:rPr>
          <w:rFonts w:asciiTheme="majorBidi" w:hAnsiTheme="majorBidi" w:cstheme="majorBidi"/>
          <w:sz w:val="24"/>
          <w:szCs w:val="24"/>
        </w:rPr>
        <w:t xml:space="preserve">Un domaine médian de sept hélices α transmembranaires hydrophobes liées entre elles par de courtes boucles. </w:t>
      </w:r>
    </w:p>
    <w:p w:rsidR="00C50ECC" w:rsidRPr="00B70F82" w:rsidRDefault="00C50ECC" w:rsidP="00B70F82">
      <w:pPr>
        <w:pStyle w:val="Paragraphedeliste"/>
        <w:numPr>
          <w:ilvl w:val="0"/>
          <w:numId w:val="12"/>
        </w:numPr>
        <w:spacing w:after="0" w:line="360" w:lineRule="auto"/>
        <w:jc w:val="both"/>
        <w:rPr>
          <w:rFonts w:asciiTheme="majorBidi" w:hAnsiTheme="majorBidi" w:cstheme="majorBidi"/>
          <w:sz w:val="24"/>
          <w:szCs w:val="24"/>
        </w:rPr>
      </w:pPr>
      <w:r w:rsidRPr="00B70F82">
        <w:rPr>
          <w:rFonts w:asciiTheme="majorBidi" w:hAnsiTheme="majorBidi" w:cstheme="majorBidi"/>
          <w:sz w:val="24"/>
          <w:szCs w:val="24"/>
        </w:rPr>
        <w:t>Un domaine C-terminal intracellulaire.</w:t>
      </w:r>
    </w:p>
    <w:p w:rsidR="00C50ECC" w:rsidRPr="00EA77A0" w:rsidRDefault="00C50ECC" w:rsidP="001B7DAA">
      <w:pPr>
        <w:spacing w:line="360" w:lineRule="auto"/>
        <w:ind w:firstLine="567"/>
        <w:jc w:val="both"/>
        <w:rPr>
          <w:rFonts w:asciiTheme="majorBidi" w:hAnsiTheme="majorBidi" w:cstheme="majorBidi"/>
          <w:sz w:val="24"/>
          <w:szCs w:val="24"/>
        </w:rPr>
      </w:pPr>
      <w:r w:rsidRPr="00EA77A0">
        <w:rPr>
          <w:rFonts w:asciiTheme="majorBidi" w:hAnsiTheme="majorBidi" w:cstheme="majorBidi"/>
          <w:sz w:val="24"/>
          <w:szCs w:val="24"/>
        </w:rPr>
        <w:t>La fixation de ligand sur le récepteur active une pr</w:t>
      </w:r>
      <w:r w:rsidR="00B70F82">
        <w:rPr>
          <w:rFonts w:asciiTheme="majorBidi" w:hAnsiTheme="majorBidi" w:cstheme="majorBidi"/>
          <w:sz w:val="24"/>
          <w:szCs w:val="24"/>
        </w:rPr>
        <w:t>otéine G qu’est</w:t>
      </w:r>
      <w:r w:rsidRPr="00EA77A0">
        <w:rPr>
          <w:rFonts w:asciiTheme="majorBidi" w:hAnsiTheme="majorBidi" w:cstheme="majorBidi"/>
          <w:sz w:val="24"/>
          <w:szCs w:val="24"/>
        </w:rPr>
        <w:t xml:space="preserve"> formé de trois sous unités différentes (α, β, γ). La stimulation du récepteur conduit à leur dissociation, la sous unité α à l’état non actif comporte une GDP,  est liée aux sous unité β et γ, lors de l’activation du récepteur il y a phosphorylation du GDP </w:t>
      </w:r>
      <w:r w:rsidR="00A5159D">
        <w:rPr>
          <w:rFonts w:asciiTheme="majorBidi" w:hAnsiTheme="majorBidi" w:cstheme="majorBidi"/>
          <w:sz w:val="24"/>
          <w:szCs w:val="24"/>
        </w:rPr>
        <w:t>en GTP lorsqu’il est phosphorylée</w:t>
      </w:r>
      <w:r w:rsidRPr="00EA77A0">
        <w:rPr>
          <w:rFonts w:asciiTheme="majorBidi" w:hAnsiTheme="majorBidi" w:cstheme="majorBidi"/>
          <w:sz w:val="24"/>
          <w:szCs w:val="24"/>
        </w:rPr>
        <w:t xml:space="preserve"> se sépare des sous unité</w:t>
      </w:r>
      <w:r w:rsidR="00A5159D">
        <w:rPr>
          <w:rFonts w:asciiTheme="majorBidi" w:hAnsiTheme="majorBidi" w:cstheme="majorBidi"/>
          <w:sz w:val="24"/>
          <w:szCs w:val="24"/>
        </w:rPr>
        <w:t>s</w:t>
      </w:r>
      <w:r w:rsidRPr="00EA77A0">
        <w:rPr>
          <w:rFonts w:asciiTheme="majorBidi" w:hAnsiTheme="majorBidi" w:cstheme="majorBidi"/>
          <w:sz w:val="24"/>
          <w:szCs w:val="24"/>
        </w:rPr>
        <w:t xml:space="preserve"> β et γ. </w:t>
      </w:r>
    </w:p>
    <w:p w:rsidR="00C50ECC" w:rsidRDefault="0008626B" w:rsidP="00C50ECC">
      <w:pPr>
        <w:spacing w:line="360" w:lineRule="auto"/>
        <w:jc w:val="center"/>
      </w:pPr>
      <w:r>
        <w:rPr>
          <w:noProof/>
          <w:lang w:eastAsia="fr-FR"/>
        </w:rPr>
        <w:lastRenderedPageBreak/>
        <w:drawing>
          <wp:inline distT="0" distB="0" distL="0" distR="0">
            <wp:extent cx="4648200" cy="4562475"/>
            <wp:effectExtent l="0" t="0" r="0"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8200" cy="4562475"/>
                    </a:xfrm>
                    <a:prstGeom prst="rect">
                      <a:avLst/>
                    </a:prstGeom>
                    <a:noFill/>
                    <a:ln>
                      <a:noFill/>
                    </a:ln>
                  </pic:spPr>
                </pic:pic>
              </a:graphicData>
            </a:graphic>
          </wp:inline>
        </w:drawing>
      </w:r>
    </w:p>
    <w:p w:rsidR="00C50ECC" w:rsidRPr="0008626B" w:rsidRDefault="0008626B" w:rsidP="00C50ECC">
      <w:pPr>
        <w:jc w:val="center"/>
        <w:rPr>
          <w:rFonts w:asciiTheme="majorBidi" w:hAnsiTheme="majorBidi" w:cstheme="majorBidi"/>
          <w:i/>
          <w:iCs/>
          <w:color w:val="000000"/>
          <w:sz w:val="24"/>
          <w:szCs w:val="24"/>
        </w:rPr>
      </w:pPr>
      <w:r w:rsidRPr="0008626B">
        <w:rPr>
          <w:rFonts w:asciiTheme="majorBidi" w:hAnsiTheme="majorBidi" w:cstheme="majorBidi"/>
          <w:b/>
          <w:bCs/>
          <w:i/>
          <w:iCs/>
          <w:sz w:val="24"/>
          <w:szCs w:val="24"/>
        </w:rPr>
        <w:t>Figure</w:t>
      </w:r>
      <w:r w:rsidR="001B7DAA">
        <w:rPr>
          <w:rFonts w:asciiTheme="majorBidi" w:hAnsiTheme="majorBidi" w:cstheme="majorBidi"/>
          <w:b/>
          <w:bCs/>
          <w:i/>
          <w:iCs/>
          <w:sz w:val="24"/>
          <w:szCs w:val="24"/>
        </w:rPr>
        <w:t xml:space="preserve"> </w:t>
      </w:r>
      <w:r w:rsidRPr="0008626B">
        <w:rPr>
          <w:rFonts w:asciiTheme="majorBidi" w:hAnsiTheme="majorBidi" w:cstheme="majorBidi"/>
          <w:b/>
          <w:bCs/>
          <w:i/>
          <w:iCs/>
          <w:sz w:val="24"/>
          <w:szCs w:val="24"/>
        </w:rPr>
        <w:t>3</w:t>
      </w:r>
      <w:r w:rsidR="00C50ECC" w:rsidRPr="0008626B">
        <w:rPr>
          <w:rFonts w:asciiTheme="majorBidi" w:hAnsiTheme="majorBidi" w:cstheme="majorBidi"/>
          <w:b/>
          <w:bCs/>
          <w:i/>
          <w:iCs/>
          <w:sz w:val="24"/>
          <w:szCs w:val="24"/>
        </w:rPr>
        <w:t> :</w:t>
      </w:r>
      <w:r w:rsidR="00C50ECC" w:rsidRPr="0008626B">
        <w:rPr>
          <w:rFonts w:asciiTheme="majorBidi" w:hAnsiTheme="majorBidi" w:cstheme="majorBidi"/>
          <w:i/>
          <w:iCs/>
          <w:sz w:val="24"/>
          <w:szCs w:val="24"/>
        </w:rPr>
        <w:t xml:space="preserve"> </w:t>
      </w:r>
      <w:r w:rsidR="00C50ECC" w:rsidRPr="0008626B">
        <w:rPr>
          <w:rFonts w:asciiTheme="majorBidi" w:hAnsiTheme="majorBidi" w:cstheme="majorBidi"/>
          <w:i/>
          <w:iCs/>
          <w:color w:val="000000"/>
          <w:sz w:val="24"/>
          <w:szCs w:val="24"/>
        </w:rPr>
        <w:t>Modèle de fonctionnement des récepteurs couplés aux protéines G</w:t>
      </w:r>
      <w:r w:rsidR="001B7DAA">
        <w:rPr>
          <w:rFonts w:asciiTheme="majorBidi" w:hAnsiTheme="majorBidi" w:cstheme="majorBidi"/>
          <w:i/>
          <w:iCs/>
          <w:color w:val="000000"/>
          <w:sz w:val="24"/>
          <w:szCs w:val="24"/>
        </w:rPr>
        <w:t>.</w:t>
      </w:r>
    </w:p>
    <w:p w:rsidR="00C50ECC" w:rsidRPr="0008626B" w:rsidRDefault="00C50ECC" w:rsidP="001B7DAA">
      <w:pPr>
        <w:ind w:firstLine="567"/>
        <w:rPr>
          <w:rFonts w:asciiTheme="majorBidi" w:hAnsiTheme="majorBidi" w:cstheme="majorBidi"/>
          <w:color w:val="000000"/>
          <w:sz w:val="24"/>
          <w:szCs w:val="24"/>
        </w:rPr>
      </w:pPr>
      <w:r w:rsidRPr="0008626B">
        <w:rPr>
          <w:rFonts w:asciiTheme="majorBidi" w:hAnsiTheme="majorBidi" w:cstheme="majorBidi"/>
          <w:sz w:val="24"/>
          <w:szCs w:val="24"/>
        </w:rPr>
        <w:t>Cette activation module l’activité d’un effecteur qui peut être :</w:t>
      </w:r>
    </w:p>
    <w:p w:rsidR="0033262E" w:rsidRDefault="00C50ECC" w:rsidP="00C50ECC">
      <w:pPr>
        <w:pStyle w:val="Paragraphedeliste"/>
        <w:numPr>
          <w:ilvl w:val="0"/>
          <w:numId w:val="10"/>
        </w:numPr>
        <w:spacing w:after="0" w:line="360" w:lineRule="auto"/>
        <w:jc w:val="both"/>
        <w:rPr>
          <w:rFonts w:asciiTheme="majorBidi" w:hAnsiTheme="majorBidi" w:cstheme="majorBidi"/>
          <w:sz w:val="24"/>
          <w:szCs w:val="24"/>
        </w:rPr>
      </w:pPr>
      <w:r w:rsidRPr="0033262E">
        <w:rPr>
          <w:rFonts w:asciiTheme="majorBidi" w:hAnsiTheme="majorBidi" w:cstheme="majorBidi"/>
          <w:sz w:val="24"/>
          <w:szCs w:val="24"/>
        </w:rPr>
        <w:t xml:space="preserve">Un effecteur enzymatique </w:t>
      </w:r>
    </w:p>
    <w:p w:rsidR="00C50ECC" w:rsidRPr="0033262E" w:rsidRDefault="00C50ECC" w:rsidP="00C50ECC">
      <w:pPr>
        <w:pStyle w:val="Paragraphedeliste"/>
        <w:numPr>
          <w:ilvl w:val="0"/>
          <w:numId w:val="10"/>
        </w:numPr>
        <w:spacing w:after="0" w:line="360" w:lineRule="auto"/>
        <w:jc w:val="both"/>
        <w:rPr>
          <w:rFonts w:asciiTheme="majorBidi" w:hAnsiTheme="majorBidi" w:cstheme="majorBidi"/>
          <w:sz w:val="24"/>
          <w:szCs w:val="24"/>
        </w:rPr>
      </w:pPr>
      <w:r w:rsidRPr="0033262E">
        <w:rPr>
          <w:rFonts w:asciiTheme="majorBidi" w:hAnsiTheme="majorBidi" w:cstheme="majorBidi"/>
          <w:sz w:val="24"/>
          <w:szCs w:val="24"/>
        </w:rPr>
        <w:t>Un canal ioniq</w:t>
      </w:r>
      <w:r w:rsidR="0008626B" w:rsidRPr="0033262E">
        <w:rPr>
          <w:rFonts w:asciiTheme="majorBidi" w:hAnsiTheme="majorBidi" w:cstheme="majorBidi"/>
          <w:sz w:val="24"/>
          <w:szCs w:val="24"/>
        </w:rPr>
        <w:t xml:space="preserve">ue permettant le transfert </w:t>
      </w:r>
      <w:r w:rsidR="0033262E" w:rsidRPr="0033262E">
        <w:rPr>
          <w:rFonts w:asciiTheme="majorBidi" w:hAnsiTheme="majorBidi" w:cstheme="majorBidi"/>
          <w:sz w:val="24"/>
          <w:szCs w:val="24"/>
        </w:rPr>
        <w:t>d’</w:t>
      </w:r>
      <w:proofErr w:type="spellStart"/>
      <w:r w:rsidR="0033262E" w:rsidRPr="0033262E">
        <w:rPr>
          <w:rFonts w:asciiTheme="majorBidi" w:hAnsiTheme="majorBidi" w:cstheme="majorBidi"/>
          <w:sz w:val="24"/>
          <w:szCs w:val="24"/>
        </w:rPr>
        <w:t>un</w:t>
      </w:r>
      <w:r w:rsidR="0008626B" w:rsidRPr="0033262E">
        <w:rPr>
          <w:rFonts w:asciiTheme="majorBidi" w:hAnsiTheme="majorBidi" w:cstheme="majorBidi"/>
          <w:sz w:val="24"/>
          <w:szCs w:val="24"/>
        </w:rPr>
        <w:t xml:space="preserve"> </w:t>
      </w:r>
      <w:r w:rsidRPr="0033262E">
        <w:rPr>
          <w:rFonts w:asciiTheme="majorBidi" w:hAnsiTheme="majorBidi" w:cstheme="majorBidi"/>
          <w:sz w:val="24"/>
          <w:szCs w:val="24"/>
        </w:rPr>
        <w:t>ion</w:t>
      </w:r>
      <w:proofErr w:type="spellEnd"/>
      <w:r w:rsidRPr="0033262E">
        <w:rPr>
          <w:rFonts w:asciiTheme="majorBidi" w:hAnsiTheme="majorBidi" w:cstheme="majorBidi"/>
          <w:sz w:val="24"/>
          <w:szCs w:val="24"/>
        </w:rPr>
        <w:t xml:space="preserve"> entre les compartiments extra et intracellulaire (NA</w:t>
      </w:r>
      <w:r w:rsidRPr="0033262E">
        <w:rPr>
          <w:rFonts w:asciiTheme="majorBidi" w:hAnsiTheme="majorBidi" w:cstheme="majorBidi"/>
          <w:sz w:val="24"/>
          <w:szCs w:val="24"/>
          <w:vertAlign w:val="superscript"/>
        </w:rPr>
        <w:t>+</w:t>
      </w:r>
      <w:r w:rsidRPr="0033262E">
        <w:rPr>
          <w:rFonts w:asciiTheme="majorBidi" w:hAnsiTheme="majorBidi" w:cstheme="majorBidi"/>
          <w:sz w:val="24"/>
          <w:szCs w:val="24"/>
        </w:rPr>
        <w:t>, K</w:t>
      </w:r>
      <w:r w:rsidRPr="0033262E">
        <w:rPr>
          <w:rFonts w:asciiTheme="majorBidi" w:hAnsiTheme="majorBidi" w:cstheme="majorBidi"/>
          <w:sz w:val="24"/>
          <w:szCs w:val="24"/>
          <w:vertAlign w:val="superscript"/>
        </w:rPr>
        <w:t>+</w:t>
      </w:r>
      <w:r w:rsidRPr="0033262E">
        <w:rPr>
          <w:rFonts w:asciiTheme="majorBidi" w:hAnsiTheme="majorBidi" w:cstheme="majorBidi"/>
          <w:sz w:val="24"/>
          <w:szCs w:val="24"/>
        </w:rPr>
        <w:t>, Ca</w:t>
      </w:r>
      <w:r w:rsidR="0033262E">
        <w:rPr>
          <w:rFonts w:asciiTheme="majorBidi" w:hAnsiTheme="majorBidi" w:cstheme="majorBidi"/>
          <w:sz w:val="24"/>
          <w:szCs w:val="24"/>
          <w:vertAlign w:val="superscript"/>
        </w:rPr>
        <w:t>+2</w:t>
      </w:r>
      <w:r w:rsidRPr="0033262E">
        <w:rPr>
          <w:rFonts w:asciiTheme="majorBidi" w:hAnsiTheme="majorBidi" w:cstheme="majorBidi"/>
          <w:sz w:val="24"/>
          <w:szCs w:val="24"/>
        </w:rPr>
        <w:t>, Cl</w:t>
      </w:r>
      <w:r w:rsidRPr="0033262E">
        <w:rPr>
          <w:rFonts w:asciiTheme="majorBidi" w:hAnsiTheme="majorBidi" w:cstheme="majorBidi"/>
          <w:sz w:val="24"/>
          <w:szCs w:val="24"/>
          <w:vertAlign w:val="superscript"/>
        </w:rPr>
        <w:t>-</w:t>
      </w:r>
      <w:r w:rsidRPr="0033262E">
        <w:rPr>
          <w:rFonts w:asciiTheme="majorBidi" w:hAnsiTheme="majorBidi" w:cstheme="majorBidi"/>
          <w:sz w:val="24"/>
          <w:szCs w:val="24"/>
        </w:rPr>
        <w:t>, …).</w:t>
      </w:r>
    </w:p>
    <w:p w:rsidR="00C50ECC" w:rsidRPr="00EA77A0" w:rsidRDefault="00C50ECC" w:rsidP="00EA77A0">
      <w:pPr>
        <w:pStyle w:val="Paragraphedeliste"/>
        <w:numPr>
          <w:ilvl w:val="0"/>
          <w:numId w:val="10"/>
        </w:numPr>
        <w:spacing w:after="0" w:line="600" w:lineRule="auto"/>
        <w:jc w:val="both"/>
        <w:rPr>
          <w:rFonts w:asciiTheme="majorBidi" w:hAnsiTheme="majorBidi" w:cstheme="majorBidi"/>
          <w:sz w:val="24"/>
          <w:szCs w:val="24"/>
        </w:rPr>
      </w:pPr>
      <w:r w:rsidRPr="0008626B">
        <w:rPr>
          <w:rFonts w:asciiTheme="majorBidi" w:hAnsiTheme="majorBidi" w:cstheme="majorBidi"/>
          <w:sz w:val="24"/>
          <w:szCs w:val="24"/>
        </w:rPr>
        <w:t>Une protéine transporteur.</w:t>
      </w:r>
    </w:p>
    <w:p w:rsidR="00A75E56" w:rsidRPr="004768CA" w:rsidRDefault="00A75E56" w:rsidP="004768CA">
      <w:pPr>
        <w:pStyle w:val="Paragraphedeliste"/>
        <w:numPr>
          <w:ilvl w:val="0"/>
          <w:numId w:val="3"/>
        </w:numPr>
        <w:autoSpaceDE w:val="0"/>
        <w:autoSpaceDN w:val="0"/>
        <w:adjustRightInd w:val="0"/>
        <w:spacing w:after="0" w:line="360" w:lineRule="auto"/>
        <w:rPr>
          <w:rFonts w:asciiTheme="majorBidi" w:hAnsiTheme="majorBidi" w:cstheme="majorBidi"/>
          <w:b/>
          <w:bCs/>
          <w:sz w:val="24"/>
          <w:szCs w:val="24"/>
        </w:rPr>
      </w:pPr>
      <w:r w:rsidRPr="004768CA">
        <w:rPr>
          <w:rFonts w:asciiTheme="majorBidi" w:hAnsiTheme="majorBidi" w:cstheme="majorBidi"/>
          <w:b/>
          <w:bCs/>
          <w:sz w:val="24"/>
          <w:szCs w:val="24"/>
        </w:rPr>
        <w:t>Type 3</w:t>
      </w:r>
      <w:r w:rsidR="00F552A1">
        <w:rPr>
          <w:rFonts w:asciiTheme="majorBidi" w:hAnsiTheme="majorBidi" w:cstheme="majorBidi"/>
          <w:b/>
          <w:bCs/>
          <w:sz w:val="24"/>
          <w:szCs w:val="24"/>
        </w:rPr>
        <w:t> : Récepteur-enzyme</w:t>
      </w:r>
    </w:p>
    <w:p w:rsidR="00D4076B" w:rsidRPr="00FE3164" w:rsidRDefault="00A75E56" w:rsidP="00C33747">
      <w:pPr>
        <w:autoSpaceDE w:val="0"/>
        <w:autoSpaceDN w:val="0"/>
        <w:adjustRightInd w:val="0"/>
        <w:spacing w:after="0" w:line="360" w:lineRule="auto"/>
        <w:ind w:firstLine="567"/>
        <w:jc w:val="both"/>
        <w:rPr>
          <w:rFonts w:asciiTheme="majorBidi" w:hAnsiTheme="majorBidi" w:cstheme="majorBidi"/>
          <w:sz w:val="24"/>
          <w:szCs w:val="24"/>
        </w:rPr>
      </w:pPr>
      <w:r w:rsidRPr="00FE3164">
        <w:rPr>
          <w:rFonts w:asciiTheme="majorBidi" w:hAnsiTheme="majorBidi" w:cstheme="majorBidi"/>
          <w:sz w:val="24"/>
          <w:szCs w:val="24"/>
        </w:rPr>
        <w:t>Les récepteurs de type 3 sont situés sur la face externe de la membrane cellulaire et sont associés à une enzyme intracellulaire à travers la membrane: ce sont des récepteurs-enzymes. La fixation de l'agoniste entraîne une réaction enzymatique (récepteurs catalytiques).</w:t>
      </w:r>
    </w:p>
    <w:p w:rsidR="00D4076B" w:rsidRPr="00FE3164" w:rsidRDefault="006D3794" w:rsidP="00FE3164">
      <w:pPr>
        <w:spacing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lastRenderedPageBreak/>
        <w:drawing>
          <wp:inline distT="0" distB="0" distL="0" distR="0">
            <wp:extent cx="4124325" cy="20955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4325" cy="2095500"/>
                    </a:xfrm>
                    <a:prstGeom prst="rect">
                      <a:avLst/>
                    </a:prstGeom>
                    <a:noFill/>
                    <a:ln>
                      <a:noFill/>
                    </a:ln>
                  </pic:spPr>
                </pic:pic>
              </a:graphicData>
            </a:graphic>
          </wp:inline>
        </w:drawing>
      </w:r>
    </w:p>
    <w:p w:rsidR="00D4076B" w:rsidRPr="00EA77A0" w:rsidRDefault="00D4076B" w:rsidP="00EA77A0">
      <w:pPr>
        <w:spacing w:line="360" w:lineRule="auto"/>
        <w:jc w:val="center"/>
        <w:rPr>
          <w:rFonts w:asciiTheme="majorBidi" w:hAnsiTheme="majorBidi" w:cstheme="majorBidi"/>
          <w:i/>
          <w:iCs/>
          <w:sz w:val="24"/>
          <w:szCs w:val="24"/>
        </w:rPr>
      </w:pPr>
      <w:r w:rsidRPr="00EA77A0">
        <w:rPr>
          <w:rFonts w:asciiTheme="majorBidi" w:hAnsiTheme="majorBidi" w:cstheme="majorBidi"/>
          <w:b/>
          <w:bCs/>
          <w:i/>
          <w:iCs/>
          <w:sz w:val="24"/>
          <w:szCs w:val="24"/>
        </w:rPr>
        <w:t>Figure</w:t>
      </w:r>
      <w:r w:rsidR="004D215D">
        <w:rPr>
          <w:rFonts w:asciiTheme="majorBidi" w:hAnsiTheme="majorBidi" w:cstheme="majorBidi"/>
          <w:b/>
          <w:bCs/>
          <w:i/>
          <w:iCs/>
          <w:sz w:val="24"/>
          <w:szCs w:val="24"/>
        </w:rPr>
        <w:t xml:space="preserve"> 4</w:t>
      </w:r>
      <w:r w:rsidRPr="00EA77A0">
        <w:rPr>
          <w:rFonts w:asciiTheme="majorBidi" w:hAnsiTheme="majorBidi" w:cstheme="majorBidi"/>
          <w:b/>
          <w:bCs/>
          <w:i/>
          <w:iCs/>
          <w:sz w:val="24"/>
          <w:szCs w:val="24"/>
        </w:rPr>
        <w:t xml:space="preserve">: </w:t>
      </w:r>
      <w:r w:rsidR="00EA77A0" w:rsidRPr="00EA77A0">
        <w:rPr>
          <w:rFonts w:asciiTheme="majorBidi" w:hAnsiTheme="majorBidi" w:cstheme="majorBidi"/>
          <w:i/>
          <w:iCs/>
          <w:sz w:val="24"/>
          <w:szCs w:val="24"/>
        </w:rPr>
        <w:t>Représentation d’un récepteur-enzyme</w:t>
      </w:r>
    </w:p>
    <w:p w:rsidR="00A75E56" w:rsidRPr="004768CA" w:rsidRDefault="00A75E56" w:rsidP="004768CA">
      <w:pPr>
        <w:pStyle w:val="Paragraphedeliste"/>
        <w:numPr>
          <w:ilvl w:val="0"/>
          <w:numId w:val="3"/>
        </w:numPr>
        <w:autoSpaceDE w:val="0"/>
        <w:autoSpaceDN w:val="0"/>
        <w:adjustRightInd w:val="0"/>
        <w:spacing w:after="0" w:line="360" w:lineRule="auto"/>
        <w:rPr>
          <w:rFonts w:asciiTheme="majorBidi" w:hAnsiTheme="majorBidi" w:cstheme="majorBidi"/>
          <w:b/>
          <w:bCs/>
          <w:sz w:val="24"/>
          <w:szCs w:val="24"/>
        </w:rPr>
      </w:pPr>
      <w:r w:rsidRPr="004768CA">
        <w:rPr>
          <w:rFonts w:asciiTheme="majorBidi" w:hAnsiTheme="majorBidi" w:cstheme="majorBidi"/>
          <w:b/>
          <w:bCs/>
          <w:sz w:val="24"/>
          <w:szCs w:val="24"/>
        </w:rPr>
        <w:t>Type 4</w:t>
      </w:r>
      <w:r w:rsidR="002E4212" w:rsidRPr="004768CA">
        <w:rPr>
          <w:rFonts w:asciiTheme="majorBidi" w:hAnsiTheme="majorBidi" w:cstheme="majorBidi"/>
          <w:b/>
          <w:bCs/>
          <w:sz w:val="24"/>
          <w:szCs w:val="24"/>
        </w:rPr>
        <w:t> : récepteur intracellulaire</w:t>
      </w:r>
    </w:p>
    <w:p w:rsidR="00A75E56" w:rsidRPr="00CF72DB" w:rsidRDefault="00A75E56" w:rsidP="00C33747">
      <w:pPr>
        <w:autoSpaceDE w:val="0"/>
        <w:autoSpaceDN w:val="0"/>
        <w:adjustRightInd w:val="0"/>
        <w:spacing w:after="0" w:line="360" w:lineRule="auto"/>
        <w:ind w:firstLine="567"/>
        <w:jc w:val="both"/>
        <w:rPr>
          <w:rFonts w:asciiTheme="majorBidi" w:hAnsiTheme="majorBidi" w:cstheme="majorBidi"/>
          <w:sz w:val="24"/>
          <w:szCs w:val="24"/>
        </w:rPr>
      </w:pPr>
      <w:r w:rsidRPr="00FE3164">
        <w:rPr>
          <w:rFonts w:asciiTheme="majorBidi" w:hAnsiTheme="majorBidi" w:cstheme="majorBidi"/>
          <w:sz w:val="24"/>
          <w:szCs w:val="24"/>
        </w:rPr>
        <w:t xml:space="preserve">Le récepteur est une protéine intranucléaire (le ligand doit donc pénétrer dans les cellules, puis dans les noyaux). </w:t>
      </w:r>
      <w:r w:rsidR="00CF72DB" w:rsidRPr="00CF72DB">
        <w:rPr>
          <w:rFonts w:asciiTheme="majorBidi" w:hAnsiTheme="majorBidi" w:cstheme="majorBidi"/>
          <w:sz w:val="24"/>
          <w:szCs w:val="24"/>
        </w:rPr>
        <w:t>La conséquence de l’interaction entre le complexe récepteur-ligand et la partie régulatrice du gène est soit une activation soit inhibition de</w:t>
      </w:r>
      <w:r w:rsidR="004D215D">
        <w:rPr>
          <w:rFonts w:asciiTheme="majorBidi" w:hAnsiTheme="majorBidi" w:cstheme="majorBidi"/>
          <w:sz w:val="24"/>
          <w:szCs w:val="24"/>
        </w:rPr>
        <w:t xml:space="preserve"> la transcription du DNA en RNA </w:t>
      </w:r>
      <w:r w:rsidR="004D215D" w:rsidRPr="004D215D">
        <w:rPr>
          <w:rFonts w:asciiTheme="majorBidi" w:hAnsiTheme="majorBidi" w:cstheme="majorBidi"/>
          <w:sz w:val="24"/>
          <w:szCs w:val="24"/>
        </w:rPr>
        <w:t>donc de la synthèse de protéines</w:t>
      </w:r>
      <w:r w:rsidR="004D215D">
        <w:rPr>
          <w:rFonts w:asciiTheme="majorBidi" w:hAnsiTheme="majorBidi" w:cstheme="majorBidi"/>
          <w:sz w:val="24"/>
          <w:szCs w:val="24"/>
        </w:rPr>
        <w:t>.</w:t>
      </w:r>
    </w:p>
    <w:p w:rsidR="00D4076B" w:rsidRPr="00D4076B" w:rsidRDefault="006B0C4B" w:rsidP="00D4076B">
      <w:pPr>
        <w:spacing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4505325" cy="2933700"/>
            <wp:effectExtent l="0" t="0" r="9525"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05325" cy="2933700"/>
                    </a:xfrm>
                    <a:prstGeom prst="rect">
                      <a:avLst/>
                    </a:prstGeom>
                    <a:noFill/>
                    <a:ln>
                      <a:noFill/>
                    </a:ln>
                  </pic:spPr>
                </pic:pic>
              </a:graphicData>
            </a:graphic>
          </wp:inline>
        </w:drawing>
      </w:r>
    </w:p>
    <w:p w:rsidR="00D4076B" w:rsidRDefault="00D4076B" w:rsidP="002E4212">
      <w:pPr>
        <w:spacing w:line="360" w:lineRule="auto"/>
        <w:jc w:val="center"/>
        <w:rPr>
          <w:rFonts w:asciiTheme="majorBidi" w:hAnsiTheme="majorBidi" w:cstheme="majorBidi"/>
          <w:i/>
          <w:iCs/>
          <w:sz w:val="24"/>
          <w:szCs w:val="24"/>
        </w:rPr>
      </w:pPr>
      <w:r w:rsidRPr="002E4212">
        <w:rPr>
          <w:rFonts w:asciiTheme="majorBidi" w:hAnsiTheme="majorBidi" w:cstheme="majorBidi"/>
          <w:b/>
          <w:bCs/>
          <w:i/>
          <w:iCs/>
          <w:sz w:val="24"/>
          <w:szCs w:val="24"/>
        </w:rPr>
        <w:t>Figure</w:t>
      </w:r>
      <w:r w:rsidR="004D215D">
        <w:rPr>
          <w:rFonts w:asciiTheme="majorBidi" w:hAnsiTheme="majorBidi" w:cstheme="majorBidi"/>
          <w:b/>
          <w:bCs/>
          <w:i/>
          <w:iCs/>
          <w:sz w:val="24"/>
          <w:szCs w:val="24"/>
        </w:rPr>
        <w:t xml:space="preserve"> 5</w:t>
      </w:r>
      <w:r w:rsidRPr="002E4212">
        <w:rPr>
          <w:rFonts w:asciiTheme="majorBidi" w:hAnsiTheme="majorBidi" w:cstheme="majorBidi"/>
          <w:b/>
          <w:bCs/>
          <w:i/>
          <w:iCs/>
          <w:sz w:val="24"/>
          <w:szCs w:val="24"/>
        </w:rPr>
        <w:t xml:space="preserve">: </w:t>
      </w:r>
      <w:r w:rsidR="00E946F2">
        <w:rPr>
          <w:rFonts w:asciiTheme="majorBidi" w:hAnsiTheme="majorBidi" w:cstheme="majorBidi"/>
          <w:i/>
          <w:iCs/>
          <w:sz w:val="24"/>
          <w:szCs w:val="24"/>
        </w:rPr>
        <w:t>R</w:t>
      </w:r>
      <w:r w:rsidR="00CF72DB" w:rsidRPr="002E4212">
        <w:rPr>
          <w:rFonts w:asciiTheme="majorBidi" w:hAnsiTheme="majorBidi" w:cstheme="majorBidi"/>
          <w:i/>
          <w:iCs/>
          <w:sz w:val="24"/>
          <w:szCs w:val="24"/>
        </w:rPr>
        <w:t>eprésentation d’un récepteur intracellulaire.</w:t>
      </w:r>
    </w:p>
    <w:p w:rsidR="00356355" w:rsidRPr="00586F2F" w:rsidRDefault="001E52D1" w:rsidP="00C93A46">
      <w:pPr>
        <w:pStyle w:val="Paragraphedeliste"/>
        <w:numPr>
          <w:ilvl w:val="1"/>
          <w:numId w:val="6"/>
        </w:numPr>
        <w:jc w:val="both"/>
        <w:rPr>
          <w:rFonts w:asciiTheme="majorBidi" w:hAnsiTheme="majorBidi" w:cstheme="majorBidi"/>
          <w:sz w:val="24"/>
          <w:szCs w:val="24"/>
        </w:rPr>
      </w:pPr>
      <w:r>
        <w:rPr>
          <w:rFonts w:asciiTheme="majorBidi" w:hAnsiTheme="majorBidi" w:cstheme="majorBidi"/>
          <w:b/>
          <w:bCs/>
          <w:sz w:val="24"/>
          <w:szCs w:val="24"/>
        </w:rPr>
        <w:t xml:space="preserve"> </w:t>
      </w:r>
      <w:r w:rsidR="00356355" w:rsidRPr="00586F2F">
        <w:rPr>
          <w:rFonts w:asciiTheme="majorBidi" w:hAnsiTheme="majorBidi" w:cstheme="majorBidi"/>
          <w:b/>
          <w:bCs/>
          <w:sz w:val="24"/>
          <w:szCs w:val="24"/>
        </w:rPr>
        <w:t>Données théoriques de la liaison au récepteur</w:t>
      </w:r>
    </w:p>
    <w:p w:rsidR="00356355" w:rsidRPr="00356355" w:rsidRDefault="00356355" w:rsidP="00C33747">
      <w:pPr>
        <w:autoSpaceDE w:val="0"/>
        <w:autoSpaceDN w:val="0"/>
        <w:adjustRightInd w:val="0"/>
        <w:spacing w:after="0" w:line="360" w:lineRule="auto"/>
        <w:ind w:firstLine="567"/>
        <w:jc w:val="both"/>
        <w:rPr>
          <w:rFonts w:asciiTheme="majorBidi" w:hAnsiTheme="majorBidi" w:cstheme="majorBidi"/>
          <w:color w:val="0070C0"/>
          <w:sz w:val="24"/>
          <w:szCs w:val="24"/>
        </w:rPr>
      </w:pPr>
      <w:r w:rsidRPr="00356355">
        <w:rPr>
          <w:rFonts w:asciiTheme="majorBidi" w:hAnsiTheme="majorBidi" w:cstheme="majorBidi"/>
          <w:sz w:val="24"/>
          <w:szCs w:val="24"/>
        </w:rPr>
        <w:t xml:space="preserve">La liaison du ligand au récepteur est une liaison </w:t>
      </w:r>
      <w:r w:rsidRPr="00EA6218">
        <w:rPr>
          <w:rFonts w:asciiTheme="majorBidi" w:hAnsiTheme="majorBidi" w:cstheme="majorBidi"/>
          <w:b/>
          <w:bCs/>
          <w:sz w:val="24"/>
          <w:szCs w:val="24"/>
        </w:rPr>
        <w:t xml:space="preserve">spécifique </w:t>
      </w:r>
      <w:r w:rsidRPr="00356355">
        <w:rPr>
          <w:rFonts w:asciiTheme="majorBidi" w:hAnsiTheme="majorBidi" w:cstheme="majorBidi"/>
          <w:sz w:val="24"/>
          <w:szCs w:val="24"/>
        </w:rPr>
        <w:t xml:space="preserve">qui déclenche un effet biologique ou au contraire bloque cet effet. Cette liaison est </w:t>
      </w:r>
      <w:r w:rsidRPr="00EA6218">
        <w:rPr>
          <w:rFonts w:asciiTheme="majorBidi" w:hAnsiTheme="majorBidi" w:cstheme="majorBidi"/>
          <w:b/>
          <w:bCs/>
          <w:sz w:val="24"/>
          <w:szCs w:val="24"/>
        </w:rPr>
        <w:t>saturable</w:t>
      </w:r>
      <w:r w:rsidRPr="00356355">
        <w:rPr>
          <w:rFonts w:asciiTheme="majorBidi" w:hAnsiTheme="majorBidi" w:cstheme="majorBidi"/>
          <w:sz w:val="24"/>
          <w:szCs w:val="24"/>
        </w:rPr>
        <w:t xml:space="preserve"> </w:t>
      </w:r>
      <w:r w:rsidRPr="00EA6218">
        <w:rPr>
          <w:rFonts w:asciiTheme="majorBidi" w:hAnsiTheme="majorBidi" w:cstheme="majorBidi"/>
          <w:sz w:val="24"/>
          <w:szCs w:val="24"/>
        </w:rPr>
        <w:t xml:space="preserve">alors qu’une liaison avec </w:t>
      </w:r>
      <w:r w:rsidR="00A951C9" w:rsidRPr="00EA6218">
        <w:rPr>
          <w:rFonts w:asciiTheme="majorBidi" w:hAnsiTheme="majorBidi" w:cstheme="majorBidi"/>
          <w:sz w:val="24"/>
          <w:szCs w:val="24"/>
        </w:rPr>
        <w:t>un</w:t>
      </w:r>
      <w:r w:rsidRPr="00EA6218">
        <w:rPr>
          <w:rFonts w:asciiTheme="majorBidi" w:hAnsiTheme="majorBidi" w:cstheme="majorBidi"/>
          <w:sz w:val="24"/>
          <w:szCs w:val="24"/>
        </w:rPr>
        <w:t xml:space="preserve"> site non spécifique ne déclenche pas d’effet biologique et n’est pas saturable.</w:t>
      </w:r>
    </w:p>
    <w:p w:rsidR="00356355" w:rsidRDefault="00356355" w:rsidP="00C33747">
      <w:pPr>
        <w:autoSpaceDE w:val="0"/>
        <w:autoSpaceDN w:val="0"/>
        <w:adjustRightInd w:val="0"/>
        <w:spacing w:after="0" w:line="360" w:lineRule="auto"/>
        <w:ind w:firstLine="567"/>
        <w:jc w:val="both"/>
        <w:rPr>
          <w:rFonts w:asciiTheme="majorBidi" w:hAnsiTheme="majorBidi" w:cstheme="majorBidi"/>
          <w:sz w:val="24"/>
          <w:szCs w:val="24"/>
        </w:rPr>
      </w:pPr>
      <w:r w:rsidRPr="00356355">
        <w:rPr>
          <w:rFonts w:asciiTheme="majorBidi" w:hAnsiTheme="majorBidi" w:cstheme="majorBidi"/>
          <w:sz w:val="24"/>
          <w:szCs w:val="24"/>
        </w:rPr>
        <w:lastRenderedPageBreak/>
        <w:t xml:space="preserve">La liaison ligand-récepteur est une réaction </w:t>
      </w:r>
      <w:r w:rsidRPr="00EA6218">
        <w:rPr>
          <w:rFonts w:asciiTheme="majorBidi" w:hAnsiTheme="majorBidi" w:cstheme="majorBidi"/>
          <w:b/>
          <w:bCs/>
          <w:sz w:val="24"/>
          <w:szCs w:val="24"/>
        </w:rPr>
        <w:t>réversible</w:t>
      </w:r>
      <w:r w:rsidRPr="00356355">
        <w:rPr>
          <w:rFonts w:asciiTheme="majorBidi" w:hAnsiTheme="majorBidi" w:cstheme="majorBidi"/>
          <w:sz w:val="24"/>
          <w:szCs w:val="24"/>
        </w:rPr>
        <w:t>, l’étude de cette liaison utilise un modèle dit loi</w:t>
      </w:r>
      <w:r>
        <w:rPr>
          <w:rFonts w:asciiTheme="majorBidi" w:hAnsiTheme="majorBidi" w:cstheme="majorBidi"/>
          <w:sz w:val="24"/>
          <w:szCs w:val="24"/>
        </w:rPr>
        <w:t xml:space="preserve"> </w:t>
      </w:r>
      <w:r w:rsidRPr="00356355">
        <w:rPr>
          <w:rFonts w:asciiTheme="majorBidi" w:hAnsiTheme="majorBidi" w:cstheme="majorBidi"/>
          <w:sz w:val="24"/>
          <w:szCs w:val="24"/>
        </w:rPr>
        <w:t>d’action de masse :</w:t>
      </w:r>
    </w:p>
    <w:p w:rsidR="00C41F5F" w:rsidRPr="00356355" w:rsidRDefault="00C41F5F" w:rsidP="00C41F5F">
      <w:pPr>
        <w:autoSpaceDE w:val="0"/>
        <w:autoSpaceDN w:val="0"/>
        <w:adjustRightInd w:val="0"/>
        <w:spacing w:after="0"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2181225" cy="685800"/>
            <wp:effectExtent l="0" t="0" r="9525"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1225" cy="685800"/>
                    </a:xfrm>
                    <a:prstGeom prst="rect">
                      <a:avLst/>
                    </a:prstGeom>
                    <a:noFill/>
                    <a:ln>
                      <a:noFill/>
                    </a:ln>
                  </pic:spPr>
                </pic:pic>
              </a:graphicData>
            </a:graphic>
          </wp:inline>
        </w:drawing>
      </w:r>
    </w:p>
    <w:p w:rsidR="00356355" w:rsidRPr="00356355" w:rsidRDefault="00356355" w:rsidP="00356355">
      <w:pPr>
        <w:autoSpaceDE w:val="0"/>
        <w:autoSpaceDN w:val="0"/>
        <w:adjustRightInd w:val="0"/>
        <w:spacing w:after="0" w:line="360" w:lineRule="auto"/>
        <w:jc w:val="both"/>
        <w:rPr>
          <w:rFonts w:asciiTheme="majorBidi" w:hAnsiTheme="majorBidi" w:cstheme="majorBidi"/>
          <w:sz w:val="24"/>
          <w:szCs w:val="24"/>
        </w:rPr>
      </w:pPr>
      <w:proofErr w:type="gramStart"/>
      <w:r w:rsidRPr="00356355">
        <w:rPr>
          <w:rFonts w:asciiTheme="majorBidi" w:hAnsiTheme="majorBidi" w:cstheme="majorBidi"/>
          <w:sz w:val="24"/>
          <w:szCs w:val="24"/>
        </w:rPr>
        <w:t>avec</w:t>
      </w:r>
      <w:proofErr w:type="gramEnd"/>
      <w:r w:rsidRPr="00356355">
        <w:rPr>
          <w:rFonts w:asciiTheme="majorBidi" w:hAnsiTheme="majorBidi" w:cstheme="majorBidi"/>
          <w:sz w:val="24"/>
          <w:szCs w:val="24"/>
        </w:rPr>
        <w:t xml:space="preserve"> k</w:t>
      </w:r>
      <w:r w:rsidRPr="00EA4F58">
        <w:rPr>
          <w:rFonts w:asciiTheme="majorBidi" w:hAnsiTheme="majorBidi" w:cstheme="majorBidi"/>
          <w:sz w:val="24"/>
          <w:szCs w:val="24"/>
          <w:vertAlign w:val="subscript"/>
        </w:rPr>
        <w:t>1</w:t>
      </w:r>
      <w:r w:rsidRPr="00356355">
        <w:rPr>
          <w:rFonts w:asciiTheme="majorBidi" w:hAnsiTheme="majorBidi" w:cstheme="majorBidi"/>
          <w:sz w:val="24"/>
          <w:szCs w:val="24"/>
        </w:rPr>
        <w:t xml:space="preserve"> : constante cinétique d’association en M</w:t>
      </w:r>
      <w:r w:rsidRPr="00EA6218">
        <w:rPr>
          <w:rFonts w:asciiTheme="majorBidi" w:hAnsiTheme="majorBidi" w:cstheme="majorBidi"/>
          <w:sz w:val="24"/>
          <w:szCs w:val="24"/>
          <w:vertAlign w:val="superscript"/>
        </w:rPr>
        <w:t>-1</w:t>
      </w:r>
      <w:r w:rsidR="00EA4F58">
        <w:rPr>
          <w:rFonts w:asciiTheme="majorBidi" w:hAnsiTheme="majorBidi" w:cstheme="majorBidi"/>
          <w:sz w:val="24"/>
          <w:szCs w:val="24"/>
        </w:rPr>
        <w:t>.</w:t>
      </w:r>
      <w:r w:rsidRPr="00356355">
        <w:rPr>
          <w:rFonts w:asciiTheme="majorBidi" w:hAnsiTheme="majorBidi" w:cstheme="majorBidi"/>
          <w:sz w:val="24"/>
          <w:szCs w:val="24"/>
        </w:rPr>
        <w:t xml:space="preserve"> min</w:t>
      </w:r>
      <w:r w:rsidRPr="00EA6218">
        <w:rPr>
          <w:rFonts w:asciiTheme="majorBidi" w:hAnsiTheme="majorBidi" w:cstheme="majorBidi"/>
          <w:sz w:val="24"/>
          <w:szCs w:val="24"/>
          <w:vertAlign w:val="superscript"/>
        </w:rPr>
        <w:t>-1</w:t>
      </w:r>
    </w:p>
    <w:p w:rsidR="00356355" w:rsidRPr="00356355" w:rsidRDefault="00356355" w:rsidP="00356355">
      <w:pPr>
        <w:autoSpaceDE w:val="0"/>
        <w:autoSpaceDN w:val="0"/>
        <w:adjustRightInd w:val="0"/>
        <w:spacing w:after="0" w:line="360" w:lineRule="auto"/>
        <w:jc w:val="both"/>
        <w:rPr>
          <w:rFonts w:asciiTheme="majorBidi" w:hAnsiTheme="majorBidi" w:cstheme="majorBidi"/>
          <w:sz w:val="24"/>
          <w:szCs w:val="24"/>
        </w:rPr>
      </w:pPr>
      <w:r w:rsidRPr="00356355">
        <w:rPr>
          <w:rFonts w:asciiTheme="majorBidi" w:hAnsiTheme="majorBidi" w:cstheme="majorBidi"/>
          <w:sz w:val="24"/>
          <w:szCs w:val="24"/>
        </w:rPr>
        <w:t>k</w:t>
      </w:r>
      <w:r w:rsidRPr="00EA4F58">
        <w:rPr>
          <w:rFonts w:asciiTheme="majorBidi" w:hAnsiTheme="majorBidi" w:cstheme="majorBidi"/>
          <w:sz w:val="24"/>
          <w:szCs w:val="24"/>
          <w:vertAlign w:val="subscript"/>
        </w:rPr>
        <w:t>-1</w:t>
      </w:r>
      <w:r w:rsidRPr="00356355">
        <w:rPr>
          <w:rFonts w:asciiTheme="majorBidi" w:hAnsiTheme="majorBidi" w:cstheme="majorBidi"/>
          <w:sz w:val="24"/>
          <w:szCs w:val="24"/>
        </w:rPr>
        <w:t xml:space="preserve"> : constante cinétique de dissociation en M</w:t>
      </w:r>
      <w:r w:rsidRPr="00EA6218">
        <w:rPr>
          <w:rFonts w:asciiTheme="majorBidi" w:hAnsiTheme="majorBidi" w:cstheme="majorBidi"/>
          <w:sz w:val="24"/>
          <w:szCs w:val="24"/>
          <w:vertAlign w:val="superscript"/>
        </w:rPr>
        <w:t>-1</w:t>
      </w:r>
      <w:r w:rsidR="00EA4F58">
        <w:rPr>
          <w:rFonts w:asciiTheme="majorBidi" w:hAnsiTheme="majorBidi" w:cstheme="majorBidi"/>
          <w:sz w:val="24"/>
          <w:szCs w:val="24"/>
        </w:rPr>
        <w:t>.</w:t>
      </w:r>
      <w:r w:rsidRPr="00356355">
        <w:rPr>
          <w:rFonts w:asciiTheme="majorBidi" w:hAnsiTheme="majorBidi" w:cstheme="majorBidi"/>
          <w:sz w:val="24"/>
          <w:szCs w:val="24"/>
        </w:rPr>
        <w:t xml:space="preserve"> min</w:t>
      </w:r>
      <w:r w:rsidRPr="00EA6218">
        <w:rPr>
          <w:rFonts w:asciiTheme="majorBidi" w:hAnsiTheme="majorBidi" w:cstheme="majorBidi"/>
          <w:sz w:val="24"/>
          <w:szCs w:val="24"/>
          <w:vertAlign w:val="superscript"/>
        </w:rPr>
        <w:t>-1</w:t>
      </w:r>
    </w:p>
    <w:p w:rsidR="00356355" w:rsidRPr="00356355" w:rsidRDefault="00356355" w:rsidP="00356355">
      <w:pPr>
        <w:autoSpaceDE w:val="0"/>
        <w:autoSpaceDN w:val="0"/>
        <w:adjustRightInd w:val="0"/>
        <w:spacing w:after="0" w:line="360" w:lineRule="auto"/>
        <w:jc w:val="both"/>
        <w:rPr>
          <w:rFonts w:asciiTheme="majorBidi" w:hAnsiTheme="majorBidi" w:cstheme="majorBidi"/>
          <w:sz w:val="24"/>
          <w:szCs w:val="24"/>
        </w:rPr>
      </w:pPr>
      <w:r w:rsidRPr="00356355">
        <w:rPr>
          <w:rFonts w:asciiTheme="majorBidi" w:hAnsiTheme="majorBidi" w:cstheme="majorBidi"/>
          <w:sz w:val="24"/>
          <w:szCs w:val="24"/>
        </w:rPr>
        <w:t>[L] : concentration de ligand libre en mol/l</w:t>
      </w:r>
    </w:p>
    <w:p w:rsidR="00356355" w:rsidRPr="00356355" w:rsidRDefault="00356355" w:rsidP="00356355">
      <w:pPr>
        <w:autoSpaceDE w:val="0"/>
        <w:autoSpaceDN w:val="0"/>
        <w:adjustRightInd w:val="0"/>
        <w:spacing w:after="0" w:line="360" w:lineRule="auto"/>
        <w:jc w:val="both"/>
        <w:rPr>
          <w:rFonts w:asciiTheme="majorBidi" w:hAnsiTheme="majorBidi" w:cstheme="majorBidi"/>
          <w:sz w:val="24"/>
          <w:szCs w:val="24"/>
        </w:rPr>
      </w:pPr>
      <w:r w:rsidRPr="00356355">
        <w:rPr>
          <w:rFonts w:asciiTheme="majorBidi" w:hAnsiTheme="majorBidi" w:cstheme="majorBidi"/>
          <w:sz w:val="24"/>
          <w:szCs w:val="24"/>
        </w:rPr>
        <w:t>[R] : concentration de récepteur libre en mol/l</w:t>
      </w:r>
    </w:p>
    <w:p w:rsidR="00356355" w:rsidRPr="00356355" w:rsidRDefault="00356355" w:rsidP="00356355">
      <w:pPr>
        <w:autoSpaceDE w:val="0"/>
        <w:autoSpaceDN w:val="0"/>
        <w:adjustRightInd w:val="0"/>
        <w:spacing w:after="0" w:line="360" w:lineRule="auto"/>
        <w:jc w:val="both"/>
        <w:rPr>
          <w:rFonts w:asciiTheme="majorBidi" w:hAnsiTheme="majorBidi" w:cstheme="majorBidi"/>
          <w:sz w:val="24"/>
          <w:szCs w:val="24"/>
        </w:rPr>
      </w:pPr>
      <w:r w:rsidRPr="00356355">
        <w:rPr>
          <w:rFonts w:asciiTheme="majorBidi" w:hAnsiTheme="majorBidi" w:cstheme="majorBidi"/>
          <w:sz w:val="24"/>
          <w:szCs w:val="24"/>
        </w:rPr>
        <w:t>[LR] : concentration de complexe ligand-récepteur en mol/l</w:t>
      </w:r>
    </w:p>
    <w:p w:rsidR="00356355" w:rsidRPr="00356355" w:rsidRDefault="00356355" w:rsidP="00356355">
      <w:pPr>
        <w:autoSpaceDE w:val="0"/>
        <w:autoSpaceDN w:val="0"/>
        <w:adjustRightInd w:val="0"/>
        <w:spacing w:after="0" w:line="360" w:lineRule="auto"/>
        <w:jc w:val="both"/>
        <w:rPr>
          <w:rFonts w:asciiTheme="majorBidi" w:hAnsiTheme="majorBidi" w:cstheme="majorBidi"/>
          <w:sz w:val="24"/>
          <w:szCs w:val="24"/>
        </w:rPr>
      </w:pPr>
      <w:r w:rsidRPr="00EA6218">
        <w:rPr>
          <w:rFonts w:asciiTheme="majorBidi" w:hAnsiTheme="majorBidi" w:cstheme="majorBidi"/>
          <w:noProof/>
          <w:sz w:val="24"/>
          <w:szCs w:val="24"/>
          <w:lang w:eastAsia="fr-FR"/>
        </w:rPr>
        <mc:AlternateContent>
          <mc:Choice Requires="wps">
            <w:drawing>
              <wp:anchor distT="0" distB="0" distL="114300" distR="114300" simplePos="0" relativeHeight="251661312" behindDoc="0" locked="0" layoutInCell="1" allowOverlap="1" wp14:anchorId="364A5FB4" wp14:editId="5E464033">
                <wp:simplePos x="0" y="0"/>
                <wp:positionH relativeFrom="column">
                  <wp:posOffset>2510155</wp:posOffset>
                </wp:positionH>
                <wp:positionV relativeFrom="paragraph">
                  <wp:posOffset>31750</wp:posOffset>
                </wp:positionV>
                <wp:extent cx="95250" cy="133350"/>
                <wp:effectExtent l="0" t="0" r="19050" b="19050"/>
                <wp:wrapNone/>
                <wp:docPr id="6" name="Connecteur droit 6"/>
                <wp:cNvGraphicFramePr/>
                <a:graphic xmlns:a="http://schemas.openxmlformats.org/drawingml/2006/main">
                  <a:graphicData uri="http://schemas.microsoft.com/office/word/2010/wordprocessingShape">
                    <wps:wsp>
                      <wps:cNvCnPr/>
                      <wps:spPr>
                        <a:xfrm flipH="1">
                          <a:off x="0" y="0"/>
                          <a:ext cx="95250" cy="133350"/>
                        </a:xfrm>
                        <a:prstGeom prst="line">
                          <a:avLst/>
                        </a:prstGeom>
                        <a:noFill/>
                        <a:ln w="9525" cap="flat" cmpd="sng" algn="ctr">
                          <a:solidFill>
                            <a:schemeClr val="tx1"/>
                          </a:solidFill>
                          <a:prstDash val="solid"/>
                        </a:ln>
                        <a:effectLst/>
                      </wps:spPr>
                      <wps:bodyPr/>
                    </wps:wsp>
                  </a:graphicData>
                </a:graphic>
              </wp:anchor>
            </w:drawing>
          </mc:Choice>
          <mc:Fallback>
            <w:pict>
              <v:line id="Connecteur droit 6"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197.65pt,2.5pt" to="205.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" strokecolor="black [3213]"/>
            </w:pict>
          </mc:Fallback>
        </mc:AlternateContent>
      </w:r>
      <w:r w:rsidRPr="00356355">
        <w:rPr>
          <w:rFonts w:asciiTheme="majorBidi" w:hAnsiTheme="majorBidi" w:cstheme="majorBidi"/>
          <w:sz w:val="24"/>
          <w:szCs w:val="24"/>
        </w:rPr>
        <w:t xml:space="preserve">KD ou KA (ou KB) = k </w:t>
      </w:r>
      <w:r w:rsidRPr="00EA4F58">
        <w:rPr>
          <w:rFonts w:asciiTheme="majorBidi" w:hAnsiTheme="majorBidi" w:cstheme="majorBidi"/>
          <w:sz w:val="24"/>
          <w:szCs w:val="24"/>
          <w:vertAlign w:val="subscript"/>
        </w:rPr>
        <w:t>-1</w:t>
      </w:r>
      <w:r w:rsidRPr="00356355">
        <w:rPr>
          <w:rFonts w:asciiTheme="majorBidi" w:hAnsiTheme="majorBidi" w:cstheme="majorBidi"/>
          <w:sz w:val="24"/>
          <w:szCs w:val="24"/>
        </w:rPr>
        <w:t>/k</w:t>
      </w:r>
      <w:r w:rsidRPr="00EA4F58">
        <w:rPr>
          <w:rFonts w:asciiTheme="majorBidi" w:hAnsiTheme="majorBidi" w:cstheme="majorBidi"/>
          <w:sz w:val="24"/>
          <w:szCs w:val="24"/>
          <w:vertAlign w:val="subscript"/>
        </w:rPr>
        <w:t>1</w:t>
      </w:r>
      <w:r w:rsidRPr="00356355">
        <w:rPr>
          <w:rFonts w:asciiTheme="majorBidi" w:hAnsiTheme="majorBidi" w:cstheme="majorBidi"/>
          <w:sz w:val="24"/>
          <w:szCs w:val="24"/>
        </w:rPr>
        <w:t xml:space="preserve"> = [L] x[R]    [LR]</w:t>
      </w:r>
    </w:p>
    <w:p w:rsidR="00356355" w:rsidRPr="00356355" w:rsidRDefault="00356355" w:rsidP="000C2E71">
      <w:pPr>
        <w:autoSpaceDE w:val="0"/>
        <w:autoSpaceDN w:val="0"/>
        <w:adjustRightInd w:val="0"/>
        <w:spacing w:after="0" w:line="360" w:lineRule="auto"/>
        <w:ind w:firstLine="567"/>
        <w:jc w:val="both"/>
        <w:rPr>
          <w:rFonts w:asciiTheme="majorBidi" w:hAnsiTheme="majorBidi" w:cstheme="majorBidi"/>
          <w:sz w:val="24"/>
          <w:szCs w:val="24"/>
        </w:rPr>
      </w:pPr>
      <w:r w:rsidRPr="00356355">
        <w:rPr>
          <w:rFonts w:asciiTheme="majorBidi" w:hAnsiTheme="majorBidi" w:cstheme="majorBidi"/>
          <w:sz w:val="24"/>
          <w:szCs w:val="24"/>
        </w:rPr>
        <w:t>Selon la nomenclature actuelle la constante de dissociation à l’équilibre KD est nommée KA pour les</w:t>
      </w:r>
      <w:r>
        <w:rPr>
          <w:rFonts w:asciiTheme="majorBidi" w:hAnsiTheme="majorBidi" w:cstheme="majorBidi"/>
          <w:sz w:val="24"/>
          <w:szCs w:val="24"/>
        </w:rPr>
        <w:t xml:space="preserve"> </w:t>
      </w:r>
      <w:r w:rsidRPr="00356355">
        <w:rPr>
          <w:rFonts w:asciiTheme="majorBidi" w:hAnsiTheme="majorBidi" w:cstheme="majorBidi"/>
          <w:sz w:val="24"/>
          <w:szCs w:val="24"/>
        </w:rPr>
        <w:t>agonistes et KB pour les antagonistes.</w:t>
      </w:r>
    </w:p>
    <w:p w:rsidR="00356355" w:rsidRPr="00356355" w:rsidRDefault="00B70A61" w:rsidP="00356355">
      <w:pPr>
        <w:spacing w:line="360" w:lineRule="auto"/>
        <w:jc w:val="both"/>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5476875" cy="2200275"/>
            <wp:effectExtent l="0" t="0" r="9525" b="952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6875" cy="2200275"/>
                    </a:xfrm>
                    <a:prstGeom prst="rect">
                      <a:avLst/>
                    </a:prstGeom>
                    <a:noFill/>
                    <a:ln>
                      <a:noFill/>
                    </a:ln>
                  </pic:spPr>
                </pic:pic>
              </a:graphicData>
            </a:graphic>
          </wp:inline>
        </w:drawing>
      </w:r>
    </w:p>
    <w:p w:rsidR="00356355" w:rsidRPr="006923AD" w:rsidRDefault="00356355" w:rsidP="00D4029C">
      <w:pPr>
        <w:autoSpaceDE w:val="0"/>
        <w:autoSpaceDN w:val="0"/>
        <w:adjustRightInd w:val="0"/>
        <w:spacing w:after="0" w:line="360" w:lineRule="auto"/>
        <w:ind w:firstLine="567"/>
        <w:jc w:val="both"/>
        <w:rPr>
          <w:rFonts w:asciiTheme="majorBidi" w:hAnsiTheme="majorBidi" w:cstheme="majorBidi"/>
          <w:sz w:val="24"/>
          <w:szCs w:val="24"/>
        </w:rPr>
      </w:pPr>
      <w:r w:rsidRPr="006923AD">
        <w:rPr>
          <w:rFonts w:asciiTheme="majorBidi" w:hAnsiTheme="majorBidi" w:cstheme="majorBidi"/>
          <w:sz w:val="24"/>
          <w:szCs w:val="24"/>
        </w:rPr>
        <w:t>KD caractérise la liaison du ligand avec son récepteur, c’est la concentration de ligand nécessaire pour obtenir la moitié de l’occupation des récepteurs.</w:t>
      </w:r>
    </w:p>
    <w:p w:rsidR="00503641" w:rsidRPr="006923AD" w:rsidRDefault="00503641" w:rsidP="00D4029C">
      <w:pPr>
        <w:spacing w:line="360" w:lineRule="auto"/>
        <w:ind w:firstLine="567"/>
        <w:jc w:val="both"/>
        <w:rPr>
          <w:rFonts w:asciiTheme="majorBidi" w:hAnsiTheme="majorBidi" w:cstheme="majorBidi"/>
          <w:sz w:val="24"/>
          <w:szCs w:val="24"/>
        </w:rPr>
      </w:pPr>
      <w:r w:rsidRPr="006923AD">
        <w:rPr>
          <w:rFonts w:asciiTheme="majorBidi" w:hAnsiTheme="majorBidi" w:cstheme="majorBidi"/>
          <w:sz w:val="24"/>
          <w:szCs w:val="24"/>
        </w:rPr>
        <w:t>Plus KD est faible plus l’affinité du ligand pour le récepteur est élevée</w:t>
      </w:r>
    </w:p>
    <w:p w:rsidR="00356355" w:rsidRPr="00356355" w:rsidRDefault="00356355" w:rsidP="00586F2F">
      <w:pPr>
        <w:autoSpaceDE w:val="0"/>
        <w:autoSpaceDN w:val="0"/>
        <w:adjustRightInd w:val="0"/>
        <w:spacing w:after="0" w:line="240" w:lineRule="auto"/>
        <w:jc w:val="both"/>
        <w:rPr>
          <w:rFonts w:asciiTheme="majorBidi" w:hAnsiTheme="majorBidi" w:cstheme="majorBidi"/>
          <w:sz w:val="24"/>
          <w:szCs w:val="24"/>
        </w:rPr>
      </w:pPr>
    </w:p>
    <w:p w:rsidR="00356355" w:rsidRPr="00586F2F" w:rsidRDefault="00586F2F" w:rsidP="00CA79F0">
      <w:pPr>
        <w:pStyle w:val="Paragraphedeliste"/>
        <w:numPr>
          <w:ilvl w:val="1"/>
          <w:numId w:val="6"/>
        </w:num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r w:rsidR="00356355" w:rsidRPr="00586F2F">
        <w:rPr>
          <w:rFonts w:asciiTheme="majorBidi" w:hAnsiTheme="majorBidi" w:cstheme="majorBidi"/>
          <w:b/>
          <w:bCs/>
          <w:sz w:val="24"/>
          <w:szCs w:val="24"/>
        </w:rPr>
        <w:t xml:space="preserve">Approche expérimentale : caractérisation d’un récepteur par technique de liaison spécifique au récepteur </w:t>
      </w:r>
    </w:p>
    <w:p w:rsidR="00356355" w:rsidRPr="00356355" w:rsidRDefault="00356355" w:rsidP="00D4029C">
      <w:pPr>
        <w:autoSpaceDE w:val="0"/>
        <w:autoSpaceDN w:val="0"/>
        <w:adjustRightInd w:val="0"/>
        <w:spacing w:after="0" w:line="360" w:lineRule="auto"/>
        <w:ind w:firstLine="567"/>
        <w:jc w:val="both"/>
        <w:rPr>
          <w:rFonts w:asciiTheme="majorBidi" w:hAnsiTheme="majorBidi" w:cstheme="majorBidi"/>
          <w:sz w:val="24"/>
          <w:szCs w:val="24"/>
        </w:rPr>
      </w:pPr>
      <w:r w:rsidRPr="00356355">
        <w:rPr>
          <w:rFonts w:asciiTheme="majorBidi" w:hAnsiTheme="majorBidi" w:cstheme="majorBidi"/>
          <w:sz w:val="24"/>
          <w:szCs w:val="24"/>
        </w:rPr>
        <w:t xml:space="preserve">Cette technique </w:t>
      </w:r>
      <w:r w:rsidRPr="006923AD">
        <w:rPr>
          <w:rFonts w:asciiTheme="majorBidi" w:hAnsiTheme="majorBidi" w:cstheme="majorBidi"/>
          <w:sz w:val="24"/>
          <w:szCs w:val="24"/>
        </w:rPr>
        <w:t xml:space="preserve">utilise des ligands qui se définissent </w:t>
      </w:r>
      <w:r w:rsidR="005F53C4" w:rsidRPr="006923AD">
        <w:rPr>
          <w:rFonts w:asciiTheme="majorBidi" w:hAnsiTheme="majorBidi" w:cstheme="majorBidi"/>
          <w:sz w:val="24"/>
          <w:szCs w:val="24"/>
        </w:rPr>
        <w:t xml:space="preserve">comme tout composé (agoniste ou </w:t>
      </w:r>
      <w:r w:rsidRPr="006923AD">
        <w:rPr>
          <w:rFonts w:asciiTheme="majorBidi" w:hAnsiTheme="majorBidi" w:cstheme="majorBidi"/>
          <w:sz w:val="24"/>
          <w:szCs w:val="24"/>
        </w:rPr>
        <w:t>antagoniste) capable de se fixer sur un récepteur. Elle permet de définir l’affinité d’un nouveau ligand pour des sites de liaison spécifiques (récepteurs), c’est à dire la capacité de fixation du ligand à son récepteur. Cette technique</w:t>
      </w:r>
      <w:r w:rsidRPr="00356355">
        <w:rPr>
          <w:rFonts w:asciiTheme="majorBidi" w:hAnsiTheme="majorBidi" w:cstheme="majorBidi"/>
          <w:sz w:val="24"/>
          <w:szCs w:val="24"/>
        </w:rPr>
        <w:t xml:space="preserve"> n’étudie que le site de fixation du ligand et pas la réponse biologique ou pharmacologique. Elle ne permet pas de définir l’activité du </w:t>
      </w:r>
      <w:r w:rsidRPr="00356355">
        <w:rPr>
          <w:rFonts w:asciiTheme="majorBidi" w:hAnsiTheme="majorBidi" w:cstheme="majorBidi"/>
          <w:sz w:val="24"/>
          <w:szCs w:val="24"/>
        </w:rPr>
        <w:lastRenderedPageBreak/>
        <w:t>ligand. Il existe deux types de méthodes d’étude de la liaison du ligand au récepteur : la méthode de saturation et la méthode de déplacement.</w:t>
      </w:r>
    </w:p>
    <w:p w:rsidR="00356355" w:rsidRPr="00356355" w:rsidRDefault="00356355" w:rsidP="008C7359">
      <w:pPr>
        <w:autoSpaceDE w:val="0"/>
        <w:autoSpaceDN w:val="0"/>
        <w:adjustRightInd w:val="0"/>
        <w:spacing w:after="0" w:line="360" w:lineRule="auto"/>
        <w:ind w:firstLine="567"/>
        <w:jc w:val="both"/>
        <w:rPr>
          <w:rFonts w:asciiTheme="majorBidi" w:hAnsiTheme="majorBidi" w:cstheme="majorBidi"/>
          <w:sz w:val="24"/>
          <w:szCs w:val="24"/>
        </w:rPr>
      </w:pPr>
      <w:r w:rsidRPr="00356355">
        <w:rPr>
          <w:rFonts w:asciiTheme="majorBidi" w:hAnsiTheme="majorBidi" w:cstheme="majorBidi"/>
          <w:sz w:val="24"/>
          <w:szCs w:val="24"/>
        </w:rPr>
        <w:t>L’activité du ligand agoniste ou antagoniste sera définie par les études fonctionnelles</w:t>
      </w:r>
    </w:p>
    <w:p w:rsidR="00356355" w:rsidRPr="00FA1E06" w:rsidRDefault="00356355" w:rsidP="00142164">
      <w:pPr>
        <w:pStyle w:val="Paragraphedeliste"/>
        <w:numPr>
          <w:ilvl w:val="0"/>
          <w:numId w:val="5"/>
        </w:numPr>
        <w:autoSpaceDE w:val="0"/>
        <w:autoSpaceDN w:val="0"/>
        <w:adjustRightInd w:val="0"/>
        <w:spacing w:after="0" w:line="360" w:lineRule="auto"/>
        <w:jc w:val="both"/>
        <w:rPr>
          <w:rFonts w:asciiTheme="majorBidi" w:hAnsiTheme="majorBidi" w:cstheme="majorBidi"/>
          <w:b/>
          <w:bCs/>
          <w:sz w:val="24"/>
          <w:szCs w:val="24"/>
        </w:rPr>
      </w:pPr>
      <w:r w:rsidRPr="00FA1E06">
        <w:rPr>
          <w:rFonts w:asciiTheme="majorBidi" w:hAnsiTheme="majorBidi" w:cstheme="majorBidi"/>
          <w:b/>
          <w:bCs/>
          <w:sz w:val="24"/>
          <w:szCs w:val="24"/>
        </w:rPr>
        <w:t>Méthode de saturation</w:t>
      </w:r>
    </w:p>
    <w:p w:rsidR="00356355" w:rsidRPr="00356355" w:rsidRDefault="00356355" w:rsidP="008C7359">
      <w:pPr>
        <w:autoSpaceDE w:val="0"/>
        <w:autoSpaceDN w:val="0"/>
        <w:adjustRightInd w:val="0"/>
        <w:spacing w:after="0" w:line="360" w:lineRule="auto"/>
        <w:ind w:firstLine="567"/>
        <w:jc w:val="both"/>
        <w:rPr>
          <w:rFonts w:asciiTheme="majorBidi" w:hAnsiTheme="majorBidi" w:cstheme="majorBidi"/>
          <w:sz w:val="24"/>
          <w:szCs w:val="24"/>
        </w:rPr>
      </w:pPr>
      <w:r w:rsidRPr="00356355">
        <w:rPr>
          <w:rFonts w:asciiTheme="majorBidi" w:hAnsiTheme="majorBidi" w:cstheme="majorBidi"/>
          <w:sz w:val="24"/>
          <w:szCs w:val="24"/>
        </w:rPr>
        <w:t>A partir d’un homogénat tissulaire ou d’une préparation cellulaire ou membranaire contenant le</w:t>
      </w:r>
      <w:r>
        <w:rPr>
          <w:rFonts w:asciiTheme="majorBidi" w:hAnsiTheme="majorBidi" w:cstheme="majorBidi"/>
          <w:sz w:val="24"/>
          <w:szCs w:val="24"/>
        </w:rPr>
        <w:t xml:space="preserve"> </w:t>
      </w:r>
      <w:r w:rsidRPr="00356355">
        <w:rPr>
          <w:rFonts w:asciiTheme="majorBidi" w:hAnsiTheme="majorBidi" w:cstheme="majorBidi"/>
          <w:sz w:val="24"/>
          <w:szCs w:val="24"/>
        </w:rPr>
        <w:t xml:space="preserve">récepteur à étudier et une concentration connue d’un ligand </w:t>
      </w:r>
      <w:proofErr w:type="spellStart"/>
      <w:r w:rsidRPr="00356355">
        <w:rPr>
          <w:rFonts w:asciiTheme="majorBidi" w:hAnsiTheme="majorBidi" w:cstheme="majorBidi"/>
          <w:sz w:val="24"/>
          <w:szCs w:val="24"/>
        </w:rPr>
        <w:t>radiomarqué</w:t>
      </w:r>
      <w:proofErr w:type="spellEnd"/>
      <w:r w:rsidRPr="00356355">
        <w:rPr>
          <w:rFonts w:asciiTheme="majorBidi" w:hAnsiTheme="majorBidi" w:cstheme="majorBidi"/>
          <w:sz w:val="24"/>
          <w:szCs w:val="24"/>
        </w:rPr>
        <w:t xml:space="preserve"> </w:t>
      </w:r>
      <w:r w:rsidR="00142164" w:rsidRPr="00142164">
        <w:rPr>
          <w:rFonts w:asciiTheme="majorBidi" w:hAnsiTheme="majorBidi" w:cstheme="majorBidi"/>
          <w:sz w:val="24"/>
          <w:szCs w:val="24"/>
        </w:rPr>
        <w:t>(H</w:t>
      </w:r>
      <w:r w:rsidR="00142164" w:rsidRPr="00142164">
        <w:rPr>
          <w:rFonts w:asciiTheme="majorBidi" w:hAnsiTheme="majorBidi" w:cstheme="majorBidi"/>
          <w:sz w:val="24"/>
          <w:szCs w:val="24"/>
          <w:vertAlign w:val="superscript"/>
        </w:rPr>
        <w:t>3</w:t>
      </w:r>
      <w:r w:rsidR="00142164" w:rsidRPr="00142164">
        <w:rPr>
          <w:rFonts w:asciiTheme="majorBidi" w:hAnsiTheme="majorBidi" w:cstheme="majorBidi"/>
          <w:sz w:val="24"/>
          <w:szCs w:val="24"/>
        </w:rPr>
        <w:t>,</w:t>
      </w:r>
      <w:r w:rsidR="00142164">
        <w:rPr>
          <w:rFonts w:asciiTheme="majorBidi" w:hAnsiTheme="majorBidi" w:cstheme="majorBidi"/>
          <w:sz w:val="24"/>
          <w:szCs w:val="24"/>
        </w:rPr>
        <w:t xml:space="preserve"> </w:t>
      </w:r>
      <w:r w:rsidR="00142164" w:rsidRPr="00142164">
        <w:rPr>
          <w:rFonts w:asciiTheme="majorBidi" w:hAnsiTheme="majorBidi" w:cstheme="majorBidi"/>
          <w:sz w:val="24"/>
          <w:szCs w:val="24"/>
        </w:rPr>
        <w:t>C</w:t>
      </w:r>
      <w:r w:rsidR="00142164" w:rsidRPr="00142164">
        <w:rPr>
          <w:rFonts w:asciiTheme="majorBidi" w:hAnsiTheme="majorBidi" w:cstheme="majorBidi"/>
          <w:sz w:val="24"/>
          <w:szCs w:val="24"/>
          <w:vertAlign w:val="superscript"/>
        </w:rPr>
        <w:t>14</w:t>
      </w:r>
      <w:r w:rsidR="00142164" w:rsidRPr="00142164">
        <w:rPr>
          <w:rFonts w:asciiTheme="majorBidi" w:hAnsiTheme="majorBidi" w:cstheme="majorBidi"/>
          <w:sz w:val="24"/>
          <w:szCs w:val="24"/>
        </w:rPr>
        <w:t>, I</w:t>
      </w:r>
      <w:r w:rsidR="00142164" w:rsidRPr="00142164">
        <w:rPr>
          <w:rFonts w:asciiTheme="majorBidi" w:hAnsiTheme="majorBidi" w:cstheme="majorBidi"/>
          <w:sz w:val="24"/>
          <w:szCs w:val="24"/>
          <w:vertAlign w:val="superscript"/>
        </w:rPr>
        <w:t>125</w:t>
      </w:r>
      <w:r w:rsidR="0049644D">
        <w:rPr>
          <w:rFonts w:asciiTheme="majorBidi" w:hAnsiTheme="majorBidi" w:cstheme="majorBidi"/>
          <w:sz w:val="24"/>
          <w:szCs w:val="24"/>
        </w:rPr>
        <w:t xml:space="preserve"> sont</w:t>
      </w:r>
      <w:r w:rsidR="00CD5C07">
        <w:rPr>
          <w:rFonts w:asciiTheme="majorBidi" w:hAnsiTheme="majorBidi" w:cstheme="majorBidi"/>
          <w:sz w:val="24"/>
          <w:szCs w:val="24"/>
        </w:rPr>
        <w:t xml:space="preserve"> </w:t>
      </w:r>
      <w:r w:rsidR="00142164" w:rsidRPr="00142164">
        <w:rPr>
          <w:rFonts w:asciiTheme="majorBidi" w:hAnsiTheme="majorBidi" w:cstheme="majorBidi"/>
          <w:sz w:val="24"/>
          <w:szCs w:val="24"/>
        </w:rPr>
        <w:t>les plus utilisés),</w:t>
      </w:r>
      <w:r w:rsidRPr="00356355">
        <w:rPr>
          <w:rFonts w:asciiTheme="majorBidi" w:hAnsiTheme="majorBidi" w:cstheme="majorBidi"/>
          <w:sz w:val="24"/>
          <w:szCs w:val="24"/>
        </w:rPr>
        <w:t xml:space="preserve"> il est possible de définir une liaison dite totale qui correspond à la somme de la liaison du ligand à son récepteur (liaison spécifique à forte affinité) et à d’autres sites de liaison à faible affinité (liaison non spécifique).</w:t>
      </w:r>
    </w:p>
    <w:p w:rsidR="00356355" w:rsidRPr="00356355" w:rsidRDefault="00356355" w:rsidP="00142164">
      <w:pPr>
        <w:autoSpaceDE w:val="0"/>
        <w:autoSpaceDN w:val="0"/>
        <w:adjustRightInd w:val="0"/>
        <w:spacing w:after="0" w:line="360" w:lineRule="auto"/>
        <w:jc w:val="both"/>
        <w:rPr>
          <w:rFonts w:asciiTheme="majorBidi" w:hAnsiTheme="majorBidi" w:cstheme="majorBidi"/>
          <w:sz w:val="24"/>
          <w:szCs w:val="24"/>
        </w:rPr>
      </w:pPr>
      <w:r w:rsidRPr="00356355">
        <w:rPr>
          <w:rFonts w:asciiTheme="majorBidi" w:hAnsiTheme="majorBidi" w:cstheme="majorBidi"/>
          <w:sz w:val="24"/>
          <w:szCs w:val="24"/>
        </w:rPr>
        <w:t>La liaison non spécifique est mesurée en présence d’une quantité de ligand non radioactif (ligand froid) suffisante pour empêcher la fixation du ligand radioactif sur ses sites spécifiques. La liaison spécifique correspond à la différence entre liaison totale et liaison non spécifique et permet de définir l’affinité du ligand pour son récepteur.</w:t>
      </w:r>
    </w:p>
    <w:p w:rsidR="00356355" w:rsidRPr="00356355" w:rsidRDefault="00356355" w:rsidP="00356355">
      <w:pPr>
        <w:autoSpaceDE w:val="0"/>
        <w:autoSpaceDN w:val="0"/>
        <w:adjustRightInd w:val="0"/>
        <w:spacing w:after="0"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14:anchorId="59FBC08C" wp14:editId="2A16A017">
            <wp:extent cx="2000250" cy="521074"/>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0" cy="521074"/>
                    </a:xfrm>
                    <a:prstGeom prst="rect">
                      <a:avLst/>
                    </a:prstGeom>
                    <a:noFill/>
                    <a:ln>
                      <a:noFill/>
                    </a:ln>
                  </pic:spPr>
                </pic:pic>
              </a:graphicData>
            </a:graphic>
          </wp:inline>
        </w:drawing>
      </w:r>
    </w:p>
    <w:p w:rsidR="00356355" w:rsidRPr="00356355" w:rsidRDefault="00970388" w:rsidP="00970388">
      <w:pPr>
        <w:spacing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14:anchorId="4108550B" wp14:editId="77B353CB">
            <wp:extent cx="4743450" cy="264795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43450" cy="2647950"/>
                    </a:xfrm>
                    <a:prstGeom prst="rect">
                      <a:avLst/>
                    </a:prstGeom>
                    <a:noFill/>
                    <a:ln>
                      <a:noFill/>
                    </a:ln>
                  </pic:spPr>
                </pic:pic>
              </a:graphicData>
            </a:graphic>
          </wp:inline>
        </w:drawing>
      </w:r>
    </w:p>
    <w:p w:rsidR="00421E77" w:rsidRPr="00421E77" w:rsidRDefault="00421E77" w:rsidP="00970388">
      <w:pPr>
        <w:autoSpaceDE w:val="0"/>
        <w:autoSpaceDN w:val="0"/>
        <w:adjustRightInd w:val="0"/>
        <w:spacing w:after="0" w:line="360" w:lineRule="auto"/>
        <w:jc w:val="center"/>
        <w:rPr>
          <w:rFonts w:asciiTheme="majorBidi" w:hAnsiTheme="majorBidi" w:cstheme="majorBidi"/>
          <w:i/>
          <w:iCs/>
          <w:sz w:val="24"/>
          <w:szCs w:val="24"/>
        </w:rPr>
      </w:pPr>
      <w:r w:rsidRPr="00421E77">
        <w:rPr>
          <w:rFonts w:asciiTheme="majorBidi" w:hAnsiTheme="majorBidi" w:cstheme="majorBidi"/>
          <w:b/>
          <w:bCs/>
          <w:i/>
          <w:iCs/>
          <w:sz w:val="24"/>
          <w:szCs w:val="24"/>
        </w:rPr>
        <w:t xml:space="preserve">Figure 6 : </w:t>
      </w:r>
      <w:r w:rsidRPr="00421E77">
        <w:rPr>
          <w:rFonts w:asciiTheme="majorBidi" w:hAnsiTheme="majorBidi" w:cstheme="majorBidi"/>
          <w:i/>
          <w:iCs/>
          <w:sz w:val="24"/>
          <w:szCs w:val="24"/>
        </w:rPr>
        <w:t xml:space="preserve">Détermination de la liaison spécifique d’un </w:t>
      </w:r>
      <w:proofErr w:type="spellStart"/>
      <w:r w:rsidRPr="00421E77">
        <w:rPr>
          <w:rFonts w:asciiTheme="majorBidi" w:hAnsiTheme="majorBidi" w:cstheme="majorBidi"/>
          <w:i/>
          <w:iCs/>
          <w:sz w:val="24"/>
          <w:szCs w:val="24"/>
        </w:rPr>
        <w:t>radioligand</w:t>
      </w:r>
      <w:proofErr w:type="spellEnd"/>
    </w:p>
    <w:p w:rsidR="008C7359" w:rsidRDefault="008C7359" w:rsidP="008C7359">
      <w:pPr>
        <w:autoSpaceDE w:val="0"/>
        <w:autoSpaceDN w:val="0"/>
        <w:adjustRightInd w:val="0"/>
        <w:spacing w:after="0" w:line="360" w:lineRule="auto"/>
        <w:ind w:firstLine="567"/>
        <w:jc w:val="both"/>
        <w:rPr>
          <w:rFonts w:asciiTheme="majorBidi" w:hAnsiTheme="majorBidi" w:cstheme="majorBidi"/>
          <w:sz w:val="24"/>
          <w:szCs w:val="24"/>
        </w:rPr>
      </w:pPr>
    </w:p>
    <w:p w:rsidR="00356355" w:rsidRPr="00356355" w:rsidRDefault="00356355" w:rsidP="008C7359">
      <w:pPr>
        <w:autoSpaceDE w:val="0"/>
        <w:autoSpaceDN w:val="0"/>
        <w:adjustRightInd w:val="0"/>
        <w:spacing w:after="0" w:line="360" w:lineRule="auto"/>
        <w:ind w:firstLine="567"/>
        <w:jc w:val="both"/>
        <w:rPr>
          <w:rFonts w:asciiTheme="majorBidi" w:hAnsiTheme="majorBidi" w:cstheme="majorBidi"/>
          <w:sz w:val="24"/>
          <w:szCs w:val="24"/>
        </w:rPr>
      </w:pPr>
      <w:r w:rsidRPr="00356355">
        <w:rPr>
          <w:rFonts w:asciiTheme="majorBidi" w:hAnsiTheme="majorBidi" w:cstheme="majorBidi"/>
          <w:sz w:val="24"/>
          <w:szCs w:val="24"/>
        </w:rPr>
        <w:t>L’utilisation de concentrations croissantes de ligand radioactif permet de construire une courbe de saturation.</w:t>
      </w:r>
    </w:p>
    <w:p w:rsidR="00356355" w:rsidRDefault="00961B36" w:rsidP="00356355">
      <w:pPr>
        <w:spacing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lastRenderedPageBreak/>
        <w:drawing>
          <wp:inline distT="0" distB="0" distL="0" distR="0" wp14:anchorId="35A299EB" wp14:editId="39F799EC">
            <wp:extent cx="3819525" cy="2276475"/>
            <wp:effectExtent l="0" t="0" r="9525" b="952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9525" cy="2276475"/>
                    </a:xfrm>
                    <a:prstGeom prst="rect">
                      <a:avLst/>
                    </a:prstGeom>
                    <a:noFill/>
                    <a:ln>
                      <a:noFill/>
                    </a:ln>
                  </pic:spPr>
                </pic:pic>
              </a:graphicData>
            </a:graphic>
          </wp:inline>
        </w:drawing>
      </w:r>
    </w:p>
    <w:p w:rsidR="00582048" w:rsidRPr="00582048" w:rsidRDefault="00582048" w:rsidP="00582048">
      <w:pPr>
        <w:spacing w:line="360" w:lineRule="auto"/>
        <w:jc w:val="center"/>
        <w:rPr>
          <w:rFonts w:asciiTheme="majorBidi" w:hAnsiTheme="majorBidi" w:cstheme="majorBidi"/>
          <w:i/>
          <w:iCs/>
          <w:sz w:val="24"/>
          <w:szCs w:val="24"/>
        </w:rPr>
      </w:pPr>
      <w:r w:rsidRPr="00582048">
        <w:rPr>
          <w:rFonts w:asciiTheme="majorBidi" w:hAnsiTheme="majorBidi" w:cstheme="majorBidi"/>
          <w:b/>
          <w:bCs/>
          <w:i/>
          <w:iCs/>
          <w:sz w:val="24"/>
          <w:szCs w:val="24"/>
        </w:rPr>
        <w:t xml:space="preserve">Figure 7 : </w:t>
      </w:r>
      <w:r w:rsidRPr="00582048">
        <w:rPr>
          <w:rFonts w:asciiTheme="majorBidi" w:hAnsiTheme="majorBidi" w:cstheme="majorBidi"/>
          <w:i/>
          <w:iCs/>
          <w:sz w:val="24"/>
          <w:szCs w:val="24"/>
        </w:rPr>
        <w:t xml:space="preserve">Courbe de saturation d’un </w:t>
      </w:r>
      <w:proofErr w:type="spellStart"/>
      <w:r w:rsidRPr="00582048">
        <w:rPr>
          <w:rFonts w:asciiTheme="majorBidi" w:hAnsiTheme="majorBidi" w:cstheme="majorBidi"/>
          <w:i/>
          <w:iCs/>
          <w:sz w:val="24"/>
          <w:szCs w:val="24"/>
        </w:rPr>
        <w:t>radioligand</w:t>
      </w:r>
      <w:proofErr w:type="spellEnd"/>
      <w:r w:rsidRPr="00582048">
        <w:rPr>
          <w:rFonts w:asciiTheme="majorBidi" w:hAnsiTheme="majorBidi" w:cstheme="majorBidi"/>
          <w:i/>
          <w:iCs/>
          <w:sz w:val="24"/>
          <w:szCs w:val="24"/>
        </w:rPr>
        <w:t xml:space="preserve"> au niveau d’une population homogène de récepteurs</w:t>
      </w:r>
    </w:p>
    <w:p w:rsidR="00356355" w:rsidRPr="00356355" w:rsidRDefault="00356355" w:rsidP="008C7359">
      <w:pPr>
        <w:autoSpaceDE w:val="0"/>
        <w:autoSpaceDN w:val="0"/>
        <w:adjustRightInd w:val="0"/>
        <w:spacing w:after="0" w:line="360" w:lineRule="auto"/>
        <w:ind w:firstLine="567"/>
        <w:jc w:val="both"/>
        <w:rPr>
          <w:rFonts w:asciiTheme="majorBidi" w:hAnsiTheme="majorBidi" w:cstheme="majorBidi"/>
          <w:sz w:val="24"/>
          <w:szCs w:val="24"/>
        </w:rPr>
      </w:pPr>
      <w:r w:rsidRPr="00356355">
        <w:rPr>
          <w:rFonts w:asciiTheme="majorBidi" w:hAnsiTheme="majorBidi" w:cstheme="majorBidi"/>
          <w:sz w:val="24"/>
          <w:szCs w:val="24"/>
        </w:rPr>
        <w:t>A partir de cette expérience de saturation, il est possible de déterminer la constante de dissociation</w:t>
      </w:r>
      <w:r>
        <w:rPr>
          <w:rFonts w:asciiTheme="majorBidi" w:hAnsiTheme="majorBidi" w:cstheme="majorBidi"/>
          <w:sz w:val="24"/>
          <w:szCs w:val="24"/>
        </w:rPr>
        <w:t xml:space="preserve"> </w:t>
      </w:r>
      <w:r w:rsidR="00961B36">
        <w:rPr>
          <w:rFonts w:asciiTheme="majorBidi" w:hAnsiTheme="majorBidi" w:cstheme="majorBidi"/>
          <w:sz w:val="24"/>
          <w:szCs w:val="24"/>
        </w:rPr>
        <w:t xml:space="preserve">à l’équilibre </w:t>
      </w:r>
      <w:r w:rsidRPr="00356355">
        <w:rPr>
          <w:rFonts w:asciiTheme="majorBidi" w:hAnsiTheme="majorBidi" w:cstheme="majorBidi"/>
          <w:sz w:val="24"/>
          <w:szCs w:val="24"/>
        </w:rPr>
        <w:t>(KD) qui traduit l’affinité du ligand pour ce récepteur et le nombre maximal de sites (</w:t>
      </w:r>
      <w:proofErr w:type="spellStart"/>
      <w:r w:rsidRPr="00356355">
        <w:rPr>
          <w:rFonts w:asciiTheme="majorBidi" w:hAnsiTheme="majorBidi" w:cstheme="majorBidi"/>
          <w:sz w:val="24"/>
          <w:szCs w:val="24"/>
        </w:rPr>
        <w:t>Bmax</w:t>
      </w:r>
      <w:proofErr w:type="spellEnd"/>
      <w:r w:rsidRPr="00356355">
        <w:rPr>
          <w:rFonts w:asciiTheme="majorBidi" w:hAnsiTheme="majorBidi" w:cstheme="majorBidi"/>
          <w:sz w:val="24"/>
          <w:szCs w:val="24"/>
        </w:rPr>
        <w:t>) de fixation.</w:t>
      </w:r>
    </w:p>
    <w:p w:rsidR="00356355" w:rsidRPr="00FA1E06" w:rsidRDefault="00356355" w:rsidP="00FA1E06">
      <w:pPr>
        <w:pStyle w:val="Paragraphedeliste"/>
        <w:numPr>
          <w:ilvl w:val="0"/>
          <w:numId w:val="5"/>
        </w:numPr>
        <w:autoSpaceDE w:val="0"/>
        <w:autoSpaceDN w:val="0"/>
        <w:adjustRightInd w:val="0"/>
        <w:spacing w:after="0" w:line="360" w:lineRule="auto"/>
        <w:jc w:val="both"/>
        <w:rPr>
          <w:rFonts w:asciiTheme="majorBidi" w:hAnsiTheme="majorBidi" w:cstheme="majorBidi"/>
          <w:b/>
          <w:bCs/>
          <w:sz w:val="24"/>
          <w:szCs w:val="24"/>
        </w:rPr>
      </w:pPr>
      <w:r w:rsidRPr="00FA1E06">
        <w:rPr>
          <w:rFonts w:asciiTheme="majorBidi" w:hAnsiTheme="majorBidi" w:cstheme="majorBidi"/>
          <w:b/>
          <w:bCs/>
          <w:sz w:val="24"/>
          <w:szCs w:val="24"/>
        </w:rPr>
        <w:t>Méthode de déplacement</w:t>
      </w:r>
    </w:p>
    <w:p w:rsidR="00356355" w:rsidRPr="00356355" w:rsidRDefault="00356355" w:rsidP="008C7359">
      <w:pPr>
        <w:autoSpaceDE w:val="0"/>
        <w:autoSpaceDN w:val="0"/>
        <w:adjustRightInd w:val="0"/>
        <w:spacing w:after="0" w:line="360" w:lineRule="auto"/>
        <w:ind w:firstLine="567"/>
        <w:jc w:val="both"/>
        <w:rPr>
          <w:rFonts w:asciiTheme="majorBidi" w:hAnsiTheme="majorBidi" w:cstheme="majorBidi"/>
          <w:sz w:val="24"/>
          <w:szCs w:val="24"/>
        </w:rPr>
      </w:pPr>
      <w:r w:rsidRPr="00356355">
        <w:rPr>
          <w:rFonts w:asciiTheme="majorBidi" w:hAnsiTheme="majorBidi" w:cstheme="majorBidi"/>
          <w:sz w:val="24"/>
          <w:szCs w:val="24"/>
        </w:rPr>
        <w:t xml:space="preserve">Les expériences de déplacement (ou de compétition) permettent de déterminer l’affinité d’un ligand non radioactif. Ceci permet d’étudier de nombreuses molécules non </w:t>
      </w:r>
      <w:proofErr w:type="spellStart"/>
      <w:r w:rsidRPr="00356355">
        <w:rPr>
          <w:rFonts w:asciiTheme="majorBidi" w:hAnsiTheme="majorBidi" w:cstheme="majorBidi"/>
          <w:sz w:val="24"/>
          <w:szCs w:val="24"/>
        </w:rPr>
        <w:t>radiomarquées</w:t>
      </w:r>
      <w:proofErr w:type="spellEnd"/>
      <w:r w:rsidRPr="00356355">
        <w:rPr>
          <w:rFonts w:asciiTheme="majorBidi" w:hAnsiTheme="majorBidi" w:cstheme="majorBidi"/>
          <w:sz w:val="24"/>
          <w:szCs w:val="24"/>
        </w:rPr>
        <w:t xml:space="preserve"> et de les comparer entre elles dans des conditions expérimentales strictement identiques. Les expériences de compétition sont réalisées en présence d’une concentration fixe de ligand radioactif et de concentrations croissantes du ligand non radioactif à étudier. Ce type d’expérience permet de déterminer</w:t>
      </w:r>
      <w:r w:rsidRPr="00703072">
        <w:rPr>
          <w:rFonts w:asciiTheme="majorBidi" w:hAnsiTheme="majorBidi" w:cstheme="majorBidi"/>
          <w:sz w:val="24"/>
          <w:szCs w:val="24"/>
        </w:rPr>
        <w:t xml:space="preserve"> l’IC50 </w:t>
      </w:r>
      <w:r w:rsidRPr="00356355">
        <w:rPr>
          <w:rFonts w:asciiTheme="majorBidi" w:hAnsiTheme="majorBidi" w:cstheme="majorBidi"/>
          <w:sz w:val="24"/>
          <w:szCs w:val="24"/>
        </w:rPr>
        <w:t xml:space="preserve">et la constante d’inhibition </w:t>
      </w:r>
      <w:proofErr w:type="spellStart"/>
      <w:r w:rsidRPr="00356355">
        <w:rPr>
          <w:rFonts w:asciiTheme="majorBidi" w:hAnsiTheme="majorBidi" w:cstheme="majorBidi"/>
          <w:sz w:val="24"/>
          <w:szCs w:val="24"/>
        </w:rPr>
        <w:t>Ki</w:t>
      </w:r>
      <w:proofErr w:type="spellEnd"/>
      <w:r w:rsidRPr="00356355">
        <w:rPr>
          <w:rFonts w:asciiTheme="majorBidi" w:hAnsiTheme="majorBidi" w:cstheme="majorBidi"/>
          <w:sz w:val="24"/>
          <w:szCs w:val="24"/>
        </w:rPr>
        <w:t xml:space="preserve">. </w:t>
      </w:r>
    </w:p>
    <w:p w:rsidR="00356355" w:rsidRPr="006923AD" w:rsidRDefault="00356355" w:rsidP="00356355">
      <w:pPr>
        <w:autoSpaceDE w:val="0"/>
        <w:autoSpaceDN w:val="0"/>
        <w:adjustRightInd w:val="0"/>
        <w:spacing w:after="0" w:line="360" w:lineRule="auto"/>
        <w:jc w:val="both"/>
        <w:rPr>
          <w:rFonts w:asciiTheme="majorBidi" w:hAnsiTheme="majorBidi" w:cstheme="majorBidi"/>
          <w:sz w:val="24"/>
          <w:szCs w:val="24"/>
        </w:rPr>
      </w:pPr>
      <w:r w:rsidRPr="006923AD">
        <w:rPr>
          <w:rFonts w:asciiTheme="majorBidi" w:hAnsiTheme="majorBidi" w:cstheme="majorBidi"/>
          <w:sz w:val="24"/>
          <w:szCs w:val="24"/>
        </w:rPr>
        <w:t>IC50 = concentration de ligand non radioactif nécessaire pour déplacer 50% de la fixation totale du ligand radioactif.</w:t>
      </w:r>
    </w:p>
    <w:p w:rsidR="00356355" w:rsidRPr="006923AD" w:rsidRDefault="00356355" w:rsidP="00356355">
      <w:pPr>
        <w:autoSpaceDE w:val="0"/>
        <w:autoSpaceDN w:val="0"/>
        <w:adjustRightInd w:val="0"/>
        <w:spacing w:after="0" w:line="360" w:lineRule="auto"/>
        <w:jc w:val="both"/>
        <w:rPr>
          <w:rFonts w:asciiTheme="majorBidi" w:hAnsiTheme="majorBidi" w:cstheme="majorBidi"/>
          <w:sz w:val="24"/>
          <w:szCs w:val="24"/>
        </w:rPr>
      </w:pPr>
      <w:r w:rsidRPr="006923AD">
        <w:rPr>
          <w:rFonts w:asciiTheme="majorBidi" w:hAnsiTheme="majorBidi" w:cstheme="majorBidi"/>
          <w:sz w:val="24"/>
          <w:szCs w:val="24"/>
        </w:rPr>
        <w:t>Plus l’IC50 est faible plus l’affinité du ligand non radioactif est élevée.</w:t>
      </w:r>
    </w:p>
    <w:p w:rsidR="00356355" w:rsidRPr="006923AD" w:rsidRDefault="00356355" w:rsidP="00356355">
      <w:pPr>
        <w:autoSpaceDE w:val="0"/>
        <w:autoSpaceDN w:val="0"/>
        <w:adjustRightInd w:val="0"/>
        <w:spacing w:after="0" w:line="360" w:lineRule="auto"/>
        <w:jc w:val="both"/>
        <w:rPr>
          <w:rFonts w:asciiTheme="majorBidi" w:hAnsiTheme="majorBidi" w:cstheme="majorBidi"/>
          <w:sz w:val="24"/>
          <w:szCs w:val="24"/>
        </w:rPr>
      </w:pPr>
      <w:proofErr w:type="spellStart"/>
      <w:r w:rsidRPr="006923AD">
        <w:rPr>
          <w:rFonts w:asciiTheme="majorBidi" w:hAnsiTheme="majorBidi" w:cstheme="majorBidi"/>
          <w:sz w:val="24"/>
          <w:szCs w:val="24"/>
        </w:rPr>
        <w:t>Ki</w:t>
      </w:r>
      <w:proofErr w:type="spellEnd"/>
      <w:r w:rsidRPr="006923AD">
        <w:rPr>
          <w:rFonts w:asciiTheme="majorBidi" w:hAnsiTheme="majorBidi" w:cstheme="majorBidi"/>
          <w:sz w:val="24"/>
          <w:szCs w:val="24"/>
        </w:rPr>
        <w:t xml:space="preserve"> = IC50 / ([L*]/KD),</w:t>
      </w:r>
    </w:p>
    <w:p w:rsidR="00356355" w:rsidRPr="006923AD" w:rsidRDefault="00356355" w:rsidP="00356355">
      <w:pPr>
        <w:autoSpaceDE w:val="0"/>
        <w:autoSpaceDN w:val="0"/>
        <w:adjustRightInd w:val="0"/>
        <w:spacing w:after="0" w:line="360" w:lineRule="auto"/>
        <w:jc w:val="both"/>
        <w:rPr>
          <w:rFonts w:asciiTheme="majorBidi" w:hAnsiTheme="majorBidi" w:cstheme="majorBidi"/>
          <w:sz w:val="24"/>
          <w:szCs w:val="24"/>
        </w:rPr>
      </w:pPr>
      <w:r w:rsidRPr="006923AD">
        <w:rPr>
          <w:rFonts w:asciiTheme="majorBidi" w:hAnsiTheme="majorBidi" w:cstheme="majorBidi"/>
          <w:sz w:val="24"/>
          <w:szCs w:val="24"/>
        </w:rPr>
        <w:t xml:space="preserve">Avec : IC50 du ligand non radioactif ; [L*] = concentration de </w:t>
      </w:r>
      <w:proofErr w:type="spellStart"/>
      <w:r w:rsidRPr="006923AD">
        <w:rPr>
          <w:rFonts w:asciiTheme="majorBidi" w:hAnsiTheme="majorBidi" w:cstheme="majorBidi"/>
          <w:sz w:val="24"/>
          <w:szCs w:val="24"/>
        </w:rPr>
        <w:t>radioligand</w:t>
      </w:r>
      <w:proofErr w:type="spellEnd"/>
      <w:r w:rsidRPr="006923AD">
        <w:rPr>
          <w:rFonts w:asciiTheme="majorBidi" w:hAnsiTheme="majorBidi" w:cstheme="majorBidi"/>
          <w:sz w:val="24"/>
          <w:szCs w:val="24"/>
        </w:rPr>
        <w:t xml:space="preserve"> ; KD : constante de dissociation du </w:t>
      </w:r>
      <w:proofErr w:type="spellStart"/>
      <w:r w:rsidRPr="006923AD">
        <w:rPr>
          <w:rFonts w:asciiTheme="majorBidi" w:hAnsiTheme="majorBidi" w:cstheme="majorBidi"/>
          <w:sz w:val="24"/>
          <w:szCs w:val="24"/>
        </w:rPr>
        <w:t>radioligand</w:t>
      </w:r>
      <w:proofErr w:type="spellEnd"/>
      <w:r w:rsidRPr="006923AD">
        <w:rPr>
          <w:rFonts w:asciiTheme="majorBidi" w:hAnsiTheme="majorBidi" w:cstheme="majorBidi"/>
          <w:sz w:val="24"/>
          <w:szCs w:val="24"/>
        </w:rPr>
        <w:t>.</w:t>
      </w:r>
    </w:p>
    <w:p w:rsidR="00356355" w:rsidRPr="006923AD" w:rsidRDefault="00356355" w:rsidP="00356355">
      <w:pPr>
        <w:autoSpaceDE w:val="0"/>
        <w:autoSpaceDN w:val="0"/>
        <w:adjustRightInd w:val="0"/>
        <w:spacing w:after="0" w:line="360" w:lineRule="auto"/>
        <w:jc w:val="both"/>
        <w:rPr>
          <w:rFonts w:asciiTheme="majorBidi" w:hAnsiTheme="majorBidi" w:cstheme="majorBidi"/>
          <w:sz w:val="24"/>
          <w:szCs w:val="24"/>
        </w:rPr>
      </w:pPr>
      <w:r w:rsidRPr="006923AD">
        <w:rPr>
          <w:rFonts w:asciiTheme="majorBidi" w:hAnsiTheme="majorBidi" w:cstheme="majorBidi"/>
          <w:sz w:val="24"/>
          <w:szCs w:val="24"/>
        </w:rPr>
        <w:t xml:space="preserve">Plus </w:t>
      </w:r>
      <w:proofErr w:type="spellStart"/>
      <w:r w:rsidRPr="006923AD">
        <w:rPr>
          <w:rFonts w:asciiTheme="majorBidi" w:hAnsiTheme="majorBidi" w:cstheme="majorBidi"/>
          <w:sz w:val="24"/>
          <w:szCs w:val="24"/>
        </w:rPr>
        <w:t>Ki</w:t>
      </w:r>
      <w:proofErr w:type="spellEnd"/>
      <w:r w:rsidRPr="006923AD">
        <w:rPr>
          <w:rFonts w:asciiTheme="majorBidi" w:hAnsiTheme="majorBidi" w:cstheme="majorBidi"/>
          <w:sz w:val="24"/>
          <w:szCs w:val="24"/>
        </w:rPr>
        <w:t xml:space="preserve"> est faible plus l’affinité du ligand non radioactif pour le récepteur est élevée.</w:t>
      </w:r>
    </w:p>
    <w:p w:rsidR="00356355" w:rsidRPr="00356355" w:rsidRDefault="00356355" w:rsidP="00356355">
      <w:pPr>
        <w:autoSpaceDE w:val="0"/>
        <w:autoSpaceDN w:val="0"/>
        <w:adjustRightInd w:val="0"/>
        <w:spacing w:after="0" w:line="360" w:lineRule="auto"/>
        <w:jc w:val="both"/>
        <w:rPr>
          <w:rFonts w:asciiTheme="majorBidi" w:hAnsiTheme="majorBidi" w:cstheme="majorBidi"/>
          <w:sz w:val="24"/>
          <w:szCs w:val="24"/>
        </w:rPr>
      </w:pPr>
      <w:r w:rsidRPr="00356355">
        <w:rPr>
          <w:rFonts w:asciiTheme="majorBidi" w:hAnsiTheme="majorBidi" w:cstheme="majorBidi"/>
          <w:noProof/>
          <w:sz w:val="24"/>
          <w:szCs w:val="24"/>
          <w:lang w:eastAsia="fr-FR"/>
        </w:rPr>
        <w:lastRenderedPageBreak/>
        <w:drawing>
          <wp:inline distT="0" distB="0" distL="0" distR="0" wp14:anchorId="221CE67A" wp14:editId="49C29EB3">
            <wp:extent cx="4874833" cy="2400300"/>
            <wp:effectExtent l="0" t="0" r="254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74833" cy="2400300"/>
                    </a:xfrm>
                    <a:prstGeom prst="rect">
                      <a:avLst/>
                    </a:prstGeom>
                    <a:noFill/>
                    <a:ln>
                      <a:noFill/>
                    </a:ln>
                  </pic:spPr>
                </pic:pic>
              </a:graphicData>
            </a:graphic>
          </wp:inline>
        </w:drawing>
      </w:r>
    </w:p>
    <w:p w:rsidR="00356355" w:rsidRPr="00356355" w:rsidRDefault="00356355" w:rsidP="00356355">
      <w:pPr>
        <w:autoSpaceDE w:val="0"/>
        <w:autoSpaceDN w:val="0"/>
        <w:adjustRightInd w:val="0"/>
        <w:spacing w:after="0" w:line="360" w:lineRule="auto"/>
        <w:jc w:val="both"/>
        <w:rPr>
          <w:rFonts w:asciiTheme="majorBidi" w:hAnsiTheme="majorBidi" w:cstheme="majorBidi"/>
          <w:sz w:val="24"/>
          <w:szCs w:val="24"/>
        </w:rPr>
      </w:pPr>
      <w:r w:rsidRPr="00356355">
        <w:rPr>
          <w:rFonts w:asciiTheme="majorBidi" w:hAnsiTheme="majorBidi" w:cstheme="majorBidi"/>
          <w:b/>
          <w:bCs/>
          <w:sz w:val="24"/>
          <w:szCs w:val="24"/>
        </w:rPr>
        <w:t>En conclusion</w:t>
      </w:r>
      <w:r w:rsidRPr="00356355">
        <w:rPr>
          <w:rFonts w:asciiTheme="majorBidi" w:hAnsiTheme="majorBidi" w:cstheme="majorBidi"/>
          <w:sz w:val="24"/>
          <w:szCs w:val="24"/>
        </w:rPr>
        <w:t>, cinq critères doivent être satisfaits pour qu’un site de liaison corresponde à un site récepteur :</w:t>
      </w:r>
    </w:p>
    <w:p w:rsidR="00356355" w:rsidRDefault="00356355" w:rsidP="00356355">
      <w:pPr>
        <w:pStyle w:val="Paragraphedeliste"/>
        <w:numPr>
          <w:ilvl w:val="0"/>
          <w:numId w:val="3"/>
        </w:numPr>
        <w:autoSpaceDE w:val="0"/>
        <w:autoSpaceDN w:val="0"/>
        <w:adjustRightInd w:val="0"/>
        <w:spacing w:after="0" w:line="360" w:lineRule="auto"/>
        <w:jc w:val="both"/>
        <w:rPr>
          <w:rFonts w:asciiTheme="majorBidi" w:hAnsiTheme="majorBidi" w:cstheme="majorBidi"/>
          <w:sz w:val="24"/>
          <w:szCs w:val="24"/>
        </w:rPr>
      </w:pPr>
      <w:r w:rsidRPr="00356355">
        <w:rPr>
          <w:rFonts w:asciiTheme="majorBidi" w:hAnsiTheme="majorBidi" w:cstheme="majorBidi"/>
          <w:b/>
          <w:bCs/>
          <w:sz w:val="24"/>
          <w:szCs w:val="24"/>
        </w:rPr>
        <w:t>la saturabilité :</w:t>
      </w:r>
      <w:r w:rsidRPr="00356355">
        <w:rPr>
          <w:rFonts w:asciiTheme="majorBidi" w:hAnsiTheme="majorBidi" w:cstheme="majorBidi"/>
          <w:sz w:val="24"/>
          <w:szCs w:val="24"/>
        </w:rPr>
        <w:t xml:space="preserve"> la liaison spécifique d’un ligand donné est saturable car elle correspond à un nombre de récepteurs défini ; par opposition, la liaison non spécifique n’est pas saturable ;</w:t>
      </w:r>
    </w:p>
    <w:p w:rsidR="00CE2B2D" w:rsidRPr="00CE2B2D" w:rsidRDefault="00356355" w:rsidP="00356355">
      <w:pPr>
        <w:pStyle w:val="Paragraphedeliste"/>
        <w:numPr>
          <w:ilvl w:val="0"/>
          <w:numId w:val="3"/>
        </w:numPr>
        <w:autoSpaceDE w:val="0"/>
        <w:autoSpaceDN w:val="0"/>
        <w:adjustRightInd w:val="0"/>
        <w:spacing w:after="0" w:line="360" w:lineRule="auto"/>
        <w:jc w:val="both"/>
        <w:rPr>
          <w:rFonts w:asciiTheme="majorBidi" w:hAnsiTheme="majorBidi" w:cstheme="majorBidi"/>
          <w:sz w:val="24"/>
          <w:szCs w:val="24"/>
        </w:rPr>
      </w:pPr>
      <w:r w:rsidRPr="00CE2B2D">
        <w:rPr>
          <w:rFonts w:asciiTheme="majorBidi" w:hAnsiTheme="majorBidi" w:cstheme="majorBidi"/>
          <w:b/>
          <w:bCs/>
          <w:sz w:val="24"/>
          <w:szCs w:val="24"/>
        </w:rPr>
        <w:t>la réversibilité</w:t>
      </w:r>
      <w:r w:rsidRPr="00CE2B2D">
        <w:rPr>
          <w:rFonts w:asciiTheme="majorBidi" w:hAnsiTheme="majorBidi" w:cstheme="majorBidi"/>
          <w:sz w:val="24"/>
          <w:szCs w:val="24"/>
        </w:rPr>
        <w:t xml:space="preserve"> </w:t>
      </w:r>
    </w:p>
    <w:p w:rsidR="00356355" w:rsidRPr="00CE2B2D" w:rsidRDefault="00356355" w:rsidP="00356355">
      <w:pPr>
        <w:pStyle w:val="Paragraphedeliste"/>
        <w:numPr>
          <w:ilvl w:val="0"/>
          <w:numId w:val="3"/>
        </w:numPr>
        <w:autoSpaceDE w:val="0"/>
        <w:autoSpaceDN w:val="0"/>
        <w:adjustRightInd w:val="0"/>
        <w:spacing w:after="0" w:line="360" w:lineRule="auto"/>
        <w:jc w:val="both"/>
        <w:rPr>
          <w:rFonts w:asciiTheme="majorBidi" w:hAnsiTheme="majorBidi" w:cstheme="majorBidi"/>
          <w:sz w:val="24"/>
          <w:szCs w:val="24"/>
        </w:rPr>
      </w:pPr>
      <w:r w:rsidRPr="00CE2B2D">
        <w:rPr>
          <w:rFonts w:asciiTheme="majorBidi" w:hAnsiTheme="majorBidi" w:cstheme="majorBidi"/>
          <w:b/>
          <w:bCs/>
          <w:sz w:val="24"/>
          <w:szCs w:val="24"/>
        </w:rPr>
        <w:t>l’affinité</w:t>
      </w:r>
      <w:r w:rsidRPr="00CE2B2D">
        <w:rPr>
          <w:rFonts w:asciiTheme="majorBidi" w:hAnsiTheme="majorBidi" w:cstheme="majorBidi"/>
          <w:sz w:val="24"/>
          <w:szCs w:val="24"/>
        </w:rPr>
        <w:t xml:space="preserve"> du ligand pour le récepteur doit être élevée avec une constante de dissociation de l’ordre de la </w:t>
      </w:r>
      <w:proofErr w:type="spellStart"/>
      <w:r w:rsidRPr="00CE2B2D">
        <w:rPr>
          <w:rFonts w:asciiTheme="majorBidi" w:hAnsiTheme="majorBidi" w:cstheme="majorBidi"/>
          <w:sz w:val="24"/>
          <w:szCs w:val="24"/>
        </w:rPr>
        <w:t>nanomole</w:t>
      </w:r>
      <w:proofErr w:type="spellEnd"/>
      <w:r w:rsidRPr="00CE2B2D">
        <w:rPr>
          <w:rFonts w:asciiTheme="majorBidi" w:hAnsiTheme="majorBidi" w:cstheme="majorBidi"/>
          <w:sz w:val="24"/>
          <w:szCs w:val="24"/>
        </w:rPr>
        <w:t xml:space="preserve"> par litre (</w:t>
      </w:r>
      <w:proofErr w:type="spellStart"/>
      <w:r w:rsidRPr="00CE2B2D">
        <w:rPr>
          <w:rFonts w:asciiTheme="majorBidi" w:hAnsiTheme="majorBidi" w:cstheme="majorBidi"/>
          <w:sz w:val="24"/>
          <w:szCs w:val="24"/>
        </w:rPr>
        <w:t>nmol</w:t>
      </w:r>
      <w:proofErr w:type="spellEnd"/>
      <w:r w:rsidRPr="00CE2B2D">
        <w:rPr>
          <w:rFonts w:asciiTheme="majorBidi" w:hAnsiTheme="majorBidi" w:cstheme="majorBidi"/>
          <w:sz w:val="24"/>
          <w:szCs w:val="24"/>
        </w:rPr>
        <w:t>/l) ;</w:t>
      </w:r>
    </w:p>
    <w:p w:rsidR="00356355" w:rsidRDefault="00356355" w:rsidP="007A0644">
      <w:pPr>
        <w:pStyle w:val="Paragraphedeliste"/>
        <w:numPr>
          <w:ilvl w:val="0"/>
          <w:numId w:val="3"/>
        </w:numPr>
        <w:autoSpaceDE w:val="0"/>
        <w:autoSpaceDN w:val="0"/>
        <w:adjustRightInd w:val="0"/>
        <w:spacing w:after="0" w:line="360" w:lineRule="auto"/>
        <w:jc w:val="both"/>
        <w:rPr>
          <w:rFonts w:asciiTheme="majorBidi" w:hAnsiTheme="majorBidi" w:cstheme="majorBidi"/>
          <w:sz w:val="24"/>
          <w:szCs w:val="24"/>
        </w:rPr>
      </w:pPr>
      <w:r w:rsidRPr="00356355">
        <w:rPr>
          <w:rFonts w:asciiTheme="majorBidi" w:hAnsiTheme="majorBidi" w:cstheme="majorBidi"/>
          <w:b/>
          <w:bCs/>
          <w:sz w:val="24"/>
          <w:szCs w:val="24"/>
        </w:rPr>
        <w:t>la spécificité :</w:t>
      </w:r>
      <w:r w:rsidRPr="00356355">
        <w:rPr>
          <w:rFonts w:asciiTheme="majorBidi" w:hAnsiTheme="majorBidi" w:cstheme="majorBidi"/>
          <w:sz w:val="24"/>
          <w:szCs w:val="24"/>
        </w:rPr>
        <w:t xml:space="preserve"> </w:t>
      </w:r>
      <w:r w:rsidR="007A0644">
        <w:rPr>
          <w:rFonts w:asciiTheme="majorBidi" w:hAnsiTheme="majorBidi" w:cstheme="majorBidi"/>
          <w:sz w:val="24"/>
          <w:szCs w:val="24"/>
        </w:rPr>
        <w:t>il faut que l’</w:t>
      </w:r>
      <w:r w:rsidR="007A0644" w:rsidRPr="007A0644">
        <w:rPr>
          <w:rFonts w:asciiTheme="majorBidi" w:hAnsiTheme="majorBidi" w:cstheme="majorBidi"/>
          <w:sz w:val="24"/>
          <w:szCs w:val="24"/>
        </w:rPr>
        <w:t xml:space="preserve">action </w:t>
      </w:r>
      <w:r w:rsidR="007A0644">
        <w:rPr>
          <w:rFonts w:asciiTheme="majorBidi" w:hAnsiTheme="majorBidi" w:cstheme="majorBidi"/>
          <w:sz w:val="24"/>
          <w:szCs w:val="24"/>
        </w:rPr>
        <w:t xml:space="preserve">de ligand </w:t>
      </w:r>
      <w:r w:rsidR="007A0644" w:rsidRPr="007A0644">
        <w:rPr>
          <w:rFonts w:asciiTheme="majorBidi" w:hAnsiTheme="majorBidi" w:cstheme="majorBidi"/>
          <w:sz w:val="24"/>
          <w:szCs w:val="24"/>
        </w:rPr>
        <w:t>soit ciblée et limitée à un mécanisme biologique précis</w:t>
      </w:r>
      <w:r w:rsidRPr="00356355">
        <w:rPr>
          <w:rFonts w:asciiTheme="majorBidi" w:hAnsiTheme="majorBidi" w:cstheme="majorBidi"/>
          <w:sz w:val="24"/>
          <w:szCs w:val="24"/>
        </w:rPr>
        <w:t>;</w:t>
      </w:r>
    </w:p>
    <w:p w:rsidR="0041574A" w:rsidRPr="00E5234D" w:rsidRDefault="00356355" w:rsidP="00E5234D">
      <w:pPr>
        <w:pStyle w:val="Paragraphedeliste"/>
        <w:numPr>
          <w:ilvl w:val="0"/>
          <w:numId w:val="3"/>
        </w:numPr>
        <w:autoSpaceDE w:val="0"/>
        <w:autoSpaceDN w:val="0"/>
        <w:adjustRightInd w:val="0"/>
        <w:spacing w:after="0" w:line="360" w:lineRule="auto"/>
        <w:jc w:val="both"/>
        <w:rPr>
          <w:rFonts w:asciiTheme="majorBidi" w:hAnsiTheme="majorBidi" w:cstheme="majorBidi"/>
          <w:sz w:val="24"/>
          <w:szCs w:val="24"/>
        </w:rPr>
      </w:pPr>
      <w:r w:rsidRPr="00356355">
        <w:rPr>
          <w:rFonts w:asciiTheme="majorBidi" w:hAnsiTheme="majorBidi" w:cstheme="majorBidi"/>
          <w:sz w:val="24"/>
          <w:szCs w:val="24"/>
        </w:rPr>
        <w:t>l’effet pharmacologique du ligand doit être obtenu avec des concentrations compatibles avec son affinité.</w:t>
      </w:r>
    </w:p>
    <w:p w:rsidR="00586F2F" w:rsidRDefault="00356355" w:rsidP="00CE2B2D">
      <w:pPr>
        <w:autoSpaceDE w:val="0"/>
        <w:autoSpaceDN w:val="0"/>
        <w:adjustRightInd w:val="0"/>
        <w:spacing w:after="0" w:line="360" w:lineRule="auto"/>
        <w:ind w:firstLine="567"/>
        <w:jc w:val="both"/>
        <w:rPr>
          <w:rFonts w:asciiTheme="majorBidi" w:hAnsiTheme="majorBidi" w:cstheme="majorBidi"/>
          <w:sz w:val="24"/>
          <w:szCs w:val="24"/>
        </w:rPr>
      </w:pPr>
      <w:r w:rsidRPr="00356355">
        <w:rPr>
          <w:rFonts w:asciiTheme="majorBidi" w:hAnsiTheme="majorBidi" w:cstheme="majorBidi"/>
          <w:sz w:val="24"/>
          <w:szCs w:val="24"/>
        </w:rPr>
        <w:t>Si ces cinq critères sont satisfaits, le ligand étudié marque bien un récepteur sinon il ne s’agit que d’un site de fixation sans activité pharmacologique.</w:t>
      </w:r>
    </w:p>
    <w:p w:rsidR="00E5234D" w:rsidRDefault="00E5234D" w:rsidP="00E5234D">
      <w:pPr>
        <w:autoSpaceDE w:val="0"/>
        <w:autoSpaceDN w:val="0"/>
        <w:adjustRightInd w:val="0"/>
        <w:spacing w:after="0" w:line="240" w:lineRule="auto"/>
        <w:jc w:val="both"/>
        <w:rPr>
          <w:rFonts w:asciiTheme="majorBidi" w:hAnsiTheme="majorBidi" w:cstheme="majorBidi"/>
          <w:sz w:val="24"/>
          <w:szCs w:val="24"/>
        </w:rPr>
      </w:pPr>
    </w:p>
    <w:p w:rsidR="00C41F5F" w:rsidRPr="00586F2F" w:rsidRDefault="00586F2F" w:rsidP="00586F2F">
      <w:pPr>
        <w:autoSpaceDE w:val="0"/>
        <w:autoSpaceDN w:val="0"/>
        <w:adjustRightInd w:val="0"/>
        <w:spacing w:after="0" w:line="360" w:lineRule="auto"/>
        <w:jc w:val="both"/>
        <w:rPr>
          <w:rFonts w:asciiTheme="majorBidi" w:hAnsiTheme="majorBidi" w:cstheme="majorBidi"/>
          <w:sz w:val="24"/>
          <w:szCs w:val="24"/>
        </w:rPr>
      </w:pPr>
      <w:r w:rsidRPr="00586F2F">
        <w:rPr>
          <w:rFonts w:asciiTheme="majorBidi" w:hAnsiTheme="majorBidi" w:cstheme="majorBidi"/>
          <w:b/>
          <w:bCs/>
          <w:sz w:val="24"/>
          <w:szCs w:val="24"/>
        </w:rPr>
        <w:t xml:space="preserve">2.6. </w:t>
      </w:r>
      <w:r w:rsidR="009D0DE2" w:rsidRPr="00586F2F">
        <w:rPr>
          <w:rFonts w:asciiTheme="majorBidi" w:hAnsiTheme="majorBidi" w:cstheme="majorBidi"/>
          <w:b/>
          <w:bCs/>
          <w:sz w:val="24"/>
          <w:szCs w:val="24"/>
        </w:rPr>
        <w:t>Approche</w:t>
      </w:r>
      <w:r w:rsidR="009D0DE2" w:rsidRPr="009D0DE2">
        <w:rPr>
          <w:rFonts w:asciiTheme="majorBidi" w:hAnsiTheme="majorBidi" w:cstheme="majorBidi"/>
          <w:b/>
          <w:bCs/>
          <w:sz w:val="24"/>
          <w:szCs w:val="24"/>
        </w:rPr>
        <w:t xml:space="preserve"> expérimentale fonctionnelle : courbe dose-réponse</w:t>
      </w:r>
    </w:p>
    <w:p w:rsidR="009D0DE2" w:rsidRPr="00C41F5F" w:rsidRDefault="00C41F5F" w:rsidP="00C41F5F">
      <w:pPr>
        <w:tabs>
          <w:tab w:val="left" w:pos="6946"/>
        </w:tabs>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2</w:t>
      </w:r>
      <w:r w:rsidR="00586F2F">
        <w:rPr>
          <w:rFonts w:asciiTheme="majorBidi" w:hAnsiTheme="majorBidi" w:cstheme="majorBidi"/>
          <w:b/>
          <w:bCs/>
          <w:sz w:val="24"/>
          <w:szCs w:val="24"/>
        </w:rPr>
        <w:t>.6</w:t>
      </w:r>
      <w:r w:rsidR="00FA1E06">
        <w:rPr>
          <w:rFonts w:asciiTheme="majorBidi" w:hAnsiTheme="majorBidi" w:cstheme="majorBidi"/>
          <w:b/>
          <w:bCs/>
          <w:sz w:val="24"/>
          <w:szCs w:val="24"/>
        </w:rPr>
        <w:t xml:space="preserve">.1. </w:t>
      </w:r>
      <w:r w:rsidR="009D0DE2" w:rsidRPr="00FA1E06">
        <w:rPr>
          <w:rFonts w:asciiTheme="majorBidi" w:hAnsiTheme="majorBidi" w:cstheme="majorBidi"/>
          <w:b/>
          <w:bCs/>
          <w:sz w:val="24"/>
          <w:szCs w:val="24"/>
        </w:rPr>
        <w:t>La courbe dose-</w:t>
      </w:r>
      <w:r w:rsidR="009D0DE2" w:rsidRPr="006923AD">
        <w:rPr>
          <w:rFonts w:asciiTheme="majorBidi" w:hAnsiTheme="majorBidi" w:cstheme="majorBidi"/>
          <w:b/>
          <w:bCs/>
          <w:sz w:val="24"/>
          <w:szCs w:val="24"/>
        </w:rPr>
        <w:t>réponse</w:t>
      </w:r>
      <w:r w:rsidR="009D0DE2" w:rsidRPr="006923AD">
        <w:rPr>
          <w:rFonts w:asciiTheme="majorBidi" w:hAnsiTheme="majorBidi" w:cstheme="majorBidi"/>
          <w:sz w:val="24"/>
          <w:szCs w:val="24"/>
        </w:rPr>
        <w:t xml:space="preserve"> (ou dose-action, dose-effet) est une donnée de base en pharmacologie : l’effet pharmacologique est mesuré pour des doses croissantes de la substance à étudier.</w:t>
      </w:r>
    </w:p>
    <w:p w:rsidR="009D0DE2" w:rsidRPr="009D0DE2" w:rsidRDefault="009D0DE2" w:rsidP="00F91E07">
      <w:pPr>
        <w:tabs>
          <w:tab w:val="left" w:pos="6946"/>
        </w:tabs>
        <w:autoSpaceDE w:val="0"/>
        <w:autoSpaceDN w:val="0"/>
        <w:adjustRightInd w:val="0"/>
        <w:spacing w:after="0" w:line="360" w:lineRule="auto"/>
        <w:ind w:firstLine="567"/>
        <w:jc w:val="both"/>
        <w:rPr>
          <w:rFonts w:asciiTheme="majorBidi" w:hAnsiTheme="majorBidi" w:cstheme="majorBidi"/>
          <w:sz w:val="24"/>
          <w:szCs w:val="24"/>
        </w:rPr>
      </w:pPr>
      <w:r w:rsidRPr="009D0DE2">
        <w:rPr>
          <w:rFonts w:asciiTheme="majorBidi" w:hAnsiTheme="majorBidi" w:cstheme="majorBidi"/>
          <w:sz w:val="24"/>
          <w:szCs w:val="24"/>
        </w:rPr>
        <w:t>La recherche de la relation dose-réponse d’une molécule est indispensable pour obtenir une information quantitative sur l’importance de l’effet pharmacologique et pour comparer entre elles différentes molécules.</w:t>
      </w:r>
    </w:p>
    <w:p w:rsidR="00800932" w:rsidRDefault="009D0DE2" w:rsidP="00F91E07">
      <w:pPr>
        <w:tabs>
          <w:tab w:val="left" w:pos="6946"/>
        </w:tabs>
        <w:autoSpaceDE w:val="0"/>
        <w:autoSpaceDN w:val="0"/>
        <w:adjustRightInd w:val="0"/>
        <w:spacing w:after="0" w:line="360" w:lineRule="auto"/>
        <w:ind w:firstLine="567"/>
        <w:jc w:val="both"/>
        <w:rPr>
          <w:rFonts w:asciiTheme="majorBidi" w:hAnsiTheme="majorBidi" w:cstheme="majorBidi"/>
          <w:sz w:val="24"/>
          <w:szCs w:val="24"/>
        </w:rPr>
      </w:pPr>
      <w:r w:rsidRPr="009D0DE2">
        <w:rPr>
          <w:rFonts w:asciiTheme="majorBidi" w:hAnsiTheme="majorBidi" w:cstheme="majorBidi"/>
          <w:sz w:val="24"/>
          <w:szCs w:val="24"/>
        </w:rPr>
        <w:lastRenderedPageBreak/>
        <w:t xml:space="preserve">L’effet pharmacologique est mesuré pour des doses croissantes de la substance à étudier, cet effet pharmacologique peut être mesuré sur des modèles </w:t>
      </w:r>
      <w:r w:rsidRPr="00E62372">
        <w:rPr>
          <w:rFonts w:asciiTheme="majorBidi" w:hAnsiTheme="majorBidi" w:cstheme="majorBidi"/>
          <w:i/>
          <w:iCs/>
          <w:sz w:val="24"/>
          <w:szCs w:val="24"/>
        </w:rPr>
        <w:t>in vivo</w:t>
      </w:r>
      <w:r w:rsidRPr="009D0DE2">
        <w:rPr>
          <w:rFonts w:asciiTheme="majorBidi" w:hAnsiTheme="majorBidi" w:cstheme="majorBidi"/>
          <w:sz w:val="24"/>
          <w:szCs w:val="24"/>
        </w:rPr>
        <w:t xml:space="preserve"> (chez l’</w:t>
      </w:r>
      <w:r w:rsidR="00E62372">
        <w:rPr>
          <w:rFonts w:asciiTheme="majorBidi" w:hAnsiTheme="majorBidi" w:cstheme="majorBidi"/>
          <w:sz w:val="24"/>
          <w:szCs w:val="24"/>
        </w:rPr>
        <w:t>h</w:t>
      </w:r>
      <w:r w:rsidRPr="009D0DE2">
        <w:rPr>
          <w:rFonts w:asciiTheme="majorBidi" w:hAnsiTheme="majorBidi" w:cstheme="majorBidi"/>
          <w:sz w:val="24"/>
          <w:szCs w:val="24"/>
        </w:rPr>
        <w:t>omme ou chez l’animal)</w:t>
      </w:r>
      <w:r w:rsidR="00800932">
        <w:rPr>
          <w:rFonts w:asciiTheme="majorBidi" w:hAnsiTheme="majorBidi" w:cstheme="majorBidi"/>
          <w:sz w:val="24"/>
          <w:szCs w:val="24"/>
        </w:rPr>
        <w:t xml:space="preserve"> ou bien sur des organes isolés.</w:t>
      </w:r>
    </w:p>
    <w:p w:rsidR="009D0DE2" w:rsidRPr="009D0DE2" w:rsidRDefault="009D0DE2" w:rsidP="00945043">
      <w:pPr>
        <w:tabs>
          <w:tab w:val="left" w:pos="6946"/>
        </w:tabs>
        <w:autoSpaceDE w:val="0"/>
        <w:autoSpaceDN w:val="0"/>
        <w:adjustRightInd w:val="0"/>
        <w:spacing w:after="0" w:line="360" w:lineRule="auto"/>
        <w:ind w:firstLine="567"/>
        <w:jc w:val="both"/>
        <w:rPr>
          <w:rFonts w:asciiTheme="majorBidi" w:hAnsiTheme="majorBidi" w:cstheme="majorBidi"/>
          <w:sz w:val="24"/>
          <w:szCs w:val="24"/>
        </w:rPr>
      </w:pPr>
      <w:r w:rsidRPr="009D0DE2">
        <w:rPr>
          <w:rFonts w:asciiTheme="majorBidi" w:hAnsiTheme="majorBidi" w:cstheme="majorBidi"/>
          <w:sz w:val="24"/>
          <w:szCs w:val="24"/>
        </w:rPr>
        <w:t>La courbe dose-réponse forme une courbe asymptotique qui peut être transformée en une sigmoïde en utilisant des coordonnées semi-logarithmiques.</w:t>
      </w:r>
    </w:p>
    <w:p w:rsidR="009D0DE2" w:rsidRPr="009D0DE2" w:rsidRDefault="009D0DE2" w:rsidP="00945043">
      <w:pPr>
        <w:tabs>
          <w:tab w:val="left" w:pos="6946"/>
        </w:tabs>
        <w:spacing w:line="360" w:lineRule="auto"/>
        <w:ind w:firstLine="567"/>
        <w:jc w:val="both"/>
        <w:rPr>
          <w:rFonts w:asciiTheme="majorBidi" w:hAnsiTheme="majorBidi" w:cstheme="majorBidi"/>
          <w:sz w:val="24"/>
          <w:szCs w:val="24"/>
        </w:rPr>
      </w:pPr>
      <w:r w:rsidRPr="009D0DE2">
        <w:rPr>
          <w:rFonts w:asciiTheme="majorBidi" w:hAnsiTheme="majorBidi" w:cstheme="majorBidi"/>
          <w:sz w:val="24"/>
          <w:szCs w:val="24"/>
        </w:rPr>
        <w:t>L’effet mesuré peut être exprimé en valeur absolue ou en pourcentage de l’effet maximum.</w:t>
      </w:r>
    </w:p>
    <w:p w:rsidR="009D0DE2" w:rsidRPr="009D0DE2" w:rsidRDefault="009D0DE2" w:rsidP="009D0DE2">
      <w:pPr>
        <w:tabs>
          <w:tab w:val="left" w:pos="6946"/>
        </w:tabs>
        <w:spacing w:line="360" w:lineRule="auto"/>
        <w:jc w:val="both"/>
        <w:rPr>
          <w:rFonts w:asciiTheme="majorBidi" w:hAnsiTheme="majorBidi" w:cstheme="majorBidi"/>
          <w:sz w:val="24"/>
          <w:szCs w:val="24"/>
        </w:rPr>
      </w:pPr>
      <w:r w:rsidRPr="009D0DE2">
        <w:rPr>
          <w:rFonts w:asciiTheme="majorBidi" w:hAnsiTheme="majorBidi" w:cstheme="majorBidi"/>
          <w:noProof/>
          <w:sz w:val="24"/>
          <w:szCs w:val="24"/>
          <w:lang w:eastAsia="fr-FR"/>
        </w:rPr>
        <w:drawing>
          <wp:inline distT="0" distB="0" distL="0" distR="0" wp14:anchorId="6021AE3C" wp14:editId="07261F06">
            <wp:extent cx="5761663" cy="234315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2342766"/>
                    </a:xfrm>
                    <a:prstGeom prst="rect">
                      <a:avLst/>
                    </a:prstGeom>
                    <a:noFill/>
                    <a:ln>
                      <a:noFill/>
                    </a:ln>
                  </pic:spPr>
                </pic:pic>
              </a:graphicData>
            </a:graphic>
          </wp:inline>
        </w:drawing>
      </w:r>
    </w:p>
    <w:p w:rsidR="009D0DE2" w:rsidRPr="009D0DE2" w:rsidRDefault="009D0DE2" w:rsidP="00A65C2D">
      <w:pPr>
        <w:tabs>
          <w:tab w:val="left" w:pos="6946"/>
        </w:tabs>
        <w:autoSpaceDE w:val="0"/>
        <w:autoSpaceDN w:val="0"/>
        <w:adjustRightInd w:val="0"/>
        <w:spacing w:after="0" w:line="360" w:lineRule="auto"/>
        <w:ind w:firstLine="567"/>
        <w:jc w:val="both"/>
        <w:rPr>
          <w:rFonts w:asciiTheme="majorBidi" w:hAnsiTheme="majorBidi" w:cstheme="majorBidi"/>
          <w:sz w:val="24"/>
          <w:szCs w:val="24"/>
        </w:rPr>
      </w:pPr>
      <w:r w:rsidRPr="009D0DE2">
        <w:rPr>
          <w:rFonts w:asciiTheme="majorBidi" w:hAnsiTheme="majorBidi" w:cstheme="majorBidi"/>
          <w:sz w:val="24"/>
          <w:szCs w:val="24"/>
        </w:rPr>
        <w:t>La courbe dose-réponse permet de déterminer deux paramètres importants :</w:t>
      </w:r>
    </w:p>
    <w:p w:rsidR="009D0DE2" w:rsidRPr="009D0DE2" w:rsidRDefault="009D0DE2" w:rsidP="009D0DE2">
      <w:pPr>
        <w:tabs>
          <w:tab w:val="left" w:pos="6946"/>
        </w:tabs>
        <w:autoSpaceDE w:val="0"/>
        <w:autoSpaceDN w:val="0"/>
        <w:adjustRightInd w:val="0"/>
        <w:spacing w:after="0" w:line="360" w:lineRule="auto"/>
        <w:jc w:val="both"/>
        <w:rPr>
          <w:rFonts w:asciiTheme="majorBidi" w:hAnsiTheme="majorBidi" w:cstheme="majorBidi"/>
          <w:sz w:val="24"/>
          <w:szCs w:val="24"/>
        </w:rPr>
      </w:pPr>
      <w:r w:rsidRPr="009D0DE2">
        <w:rPr>
          <w:rFonts w:asciiTheme="majorBidi" w:hAnsiTheme="majorBidi" w:cstheme="majorBidi"/>
          <w:sz w:val="24"/>
          <w:szCs w:val="24"/>
        </w:rPr>
        <w:t>- la dose seuil : dose à partir de laquelle un effet apparaît</w:t>
      </w:r>
      <w:r w:rsidR="008F40ED">
        <w:rPr>
          <w:rFonts w:asciiTheme="majorBidi" w:hAnsiTheme="majorBidi" w:cstheme="majorBidi"/>
          <w:sz w:val="24"/>
          <w:szCs w:val="24"/>
        </w:rPr>
        <w:t>.</w:t>
      </w:r>
    </w:p>
    <w:p w:rsidR="009D0DE2" w:rsidRPr="009D0DE2" w:rsidRDefault="009D0DE2" w:rsidP="009D0DE2">
      <w:pPr>
        <w:tabs>
          <w:tab w:val="left" w:pos="6946"/>
        </w:tabs>
        <w:spacing w:line="360" w:lineRule="auto"/>
        <w:jc w:val="both"/>
        <w:rPr>
          <w:rFonts w:asciiTheme="majorBidi" w:hAnsiTheme="majorBidi" w:cstheme="majorBidi"/>
          <w:sz w:val="24"/>
          <w:szCs w:val="24"/>
        </w:rPr>
      </w:pPr>
      <w:r w:rsidRPr="009D0DE2">
        <w:rPr>
          <w:rFonts w:asciiTheme="majorBidi" w:hAnsiTheme="majorBidi" w:cstheme="majorBidi"/>
          <w:sz w:val="24"/>
          <w:szCs w:val="24"/>
        </w:rPr>
        <w:t>- la dose à partir de laquelle l’effet maximal est atteint.</w:t>
      </w:r>
    </w:p>
    <w:p w:rsidR="009D0DE2" w:rsidRPr="009D0DE2" w:rsidRDefault="00586F2F" w:rsidP="009D0DE2">
      <w:pPr>
        <w:tabs>
          <w:tab w:val="left" w:pos="6946"/>
        </w:tabs>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2.6</w:t>
      </w:r>
      <w:r w:rsidR="00FA1E06">
        <w:rPr>
          <w:rFonts w:asciiTheme="majorBidi" w:hAnsiTheme="majorBidi" w:cstheme="majorBidi"/>
          <w:b/>
          <w:bCs/>
          <w:sz w:val="24"/>
          <w:szCs w:val="24"/>
        </w:rPr>
        <w:t>.2.</w:t>
      </w:r>
      <w:r w:rsidR="009D0DE2" w:rsidRPr="009D0DE2">
        <w:rPr>
          <w:rFonts w:asciiTheme="majorBidi" w:hAnsiTheme="majorBidi" w:cstheme="majorBidi"/>
          <w:b/>
          <w:bCs/>
          <w:sz w:val="24"/>
          <w:szCs w:val="24"/>
        </w:rPr>
        <w:t xml:space="preserve"> Agoniste</w:t>
      </w:r>
    </w:p>
    <w:p w:rsidR="009D0DE2" w:rsidRPr="006923AD" w:rsidRDefault="009D0DE2" w:rsidP="009D0DE2">
      <w:pPr>
        <w:tabs>
          <w:tab w:val="left" w:pos="6946"/>
        </w:tabs>
        <w:autoSpaceDE w:val="0"/>
        <w:autoSpaceDN w:val="0"/>
        <w:adjustRightInd w:val="0"/>
        <w:spacing w:after="0" w:line="360" w:lineRule="auto"/>
        <w:jc w:val="both"/>
        <w:rPr>
          <w:rFonts w:asciiTheme="majorBidi" w:hAnsiTheme="majorBidi" w:cstheme="majorBidi"/>
          <w:b/>
          <w:bCs/>
          <w:sz w:val="24"/>
          <w:szCs w:val="24"/>
        </w:rPr>
      </w:pPr>
      <w:r w:rsidRPr="009D0DE2">
        <w:rPr>
          <w:rFonts w:asciiTheme="majorBidi" w:hAnsiTheme="majorBidi" w:cstheme="majorBidi"/>
          <w:b/>
          <w:bCs/>
          <w:sz w:val="24"/>
          <w:szCs w:val="24"/>
        </w:rPr>
        <w:t xml:space="preserve">Définition de la </w:t>
      </w:r>
      <w:r w:rsidRPr="006923AD">
        <w:rPr>
          <w:rFonts w:asciiTheme="majorBidi" w:hAnsiTheme="majorBidi" w:cstheme="majorBidi"/>
          <w:b/>
          <w:bCs/>
          <w:sz w:val="24"/>
          <w:szCs w:val="24"/>
        </w:rPr>
        <w:t>notion d’agoniste :</w:t>
      </w:r>
    </w:p>
    <w:p w:rsidR="009D0DE2" w:rsidRPr="006923AD" w:rsidRDefault="009D0DE2" w:rsidP="00583BFB">
      <w:pPr>
        <w:tabs>
          <w:tab w:val="left" w:pos="6946"/>
        </w:tabs>
        <w:autoSpaceDE w:val="0"/>
        <w:autoSpaceDN w:val="0"/>
        <w:adjustRightInd w:val="0"/>
        <w:spacing w:after="0" w:line="360" w:lineRule="auto"/>
        <w:ind w:firstLine="567"/>
        <w:jc w:val="both"/>
        <w:rPr>
          <w:rFonts w:asciiTheme="majorBidi" w:hAnsiTheme="majorBidi" w:cstheme="majorBidi"/>
          <w:sz w:val="24"/>
          <w:szCs w:val="24"/>
        </w:rPr>
      </w:pPr>
      <w:r w:rsidRPr="006923AD">
        <w:rPr>
          <w:rFonts w:asciiTheme="majorBidi" w:hAnsiTheme="majorBidi" w:cstheme="majorBidi"/>
          <w:sz w:val="24"/>
          <w:szCs w:val="24"/>
        </w:rPr>
        <w:t>Un médicament qui, après sa liaison à un récepteur spécifique, provoque un effet comparable à celui du médiateur naturel est un agoniste (on parle aussi d’effet mimétique).</w:t>
      </w:r>
    </w:p>
    <w:p w:rsidR="009D0DE2" w:rsidRPr="006923AD" w:rsidRDefault="009D0DE2" w:rsidP="00BE1E62">
      <w:pPr>
        <w:tabs>
          <w:tab w:val="left" w:pos="6946"/>
        </w:tabs>
        <w:autoSpaceDE w:val="0"/>
        <w:autoSpaceDN w:val="0"/>
        <w:adjustRightInd w:val="0"/>
        <w:spacing w:after="0" w:line="360" w:lineRule="auto"/>
        <w:ind w:firstLine="567"/>
        <w:jc w:val="both"/>
        <w:rPr>
          <w:rFonts w:asciiTheme="majorBidi" w:hAnsiTheme="majorBidi" w:cstheme="majorBidi"/>
          <w:sz w:val="24"/>
          <w:szCs w:val="24"/>
        </w:rPr>
      </w:pPr>
      <w:r w:rsidRPr="006923AD">
        <w:rPr>
          <w:rFonts w:asciiTheme="majorBidi" w:hAnsiTheme="majorBidi" w:cstheme="majorBidi"/>
          <w:sz w:val="24"/>
          <w:szCs w:val="24"/>
        </w:rPr>
        <w:t>La courbe dose-action (dose réponse) d’un agoniste permet de définir :</w:t>
      </w:r>
    </w:p>
    <w:p w:rsidR="009D0DE2" w:rsidRPr="006923AD" w:rsidRDefault="009D0DE2" w:rsidP="009D0DE2">
      <w:pPr>
        <w:tabs>
          <w:tab w:val="left" w:pos="6946"/>
        </w:tabs>
        <w:autoSpaceDE w:val="0"/>
        <w:autoSpaceDN w:val="0"/>
        <w:adjustRightInd w:val="0"/>
        <w:spacing w:after="0" w:line="360" w:lineRule="auto"/>
        <w:jc w:val="both"/>
        <w:rPr>
          <w:rFonts w:asciiTheme="majorBidi" w:hAnsiTheme="majorBidi" w:cstheme="majorBidi"/>
          <w:sz w:val="24"/>
          <w:szCs w:val="24"/>
        </w:rPr>
      </w:pPr>
      <w:r w:rsidRPr="006923AD">
        <w:rPr>
          <w:rFonts w:asciiTheme="majorBidi" w:hAnsiTheme="majorBidi" w:cstheme="majorBidi"/>
          <w:b/>
          <w:bCs/>
          <w:sz w:val="24"/>
          <w:szCs w:val="24"/>
        </w:rPr>
        <w:t>- L’efficacité :</w:t>
      </w:r>
      <w:r w:rsidRPr="006923AD">
        <w:rPr>
          <w:rFonts w:asciiTheme="majorBidi" w:hAnsiTheme="majorBidi" w:cstheme="majorBidi"/>
          <w:sz w:val="24"/>
          <w:szCs w:val="24"/>
        </w:rPr>
        <w:t xml:space="preserve"> l’effet maximal = </w:t>
      </w:r>
      <w:proofErr w:type="spellStart"/>
      <w:r w:rsidRPr="006923AD">
        <w:rPr>
          <w:rFonts w:asciiTheme="majorBidi" w:hAnsiTheme="majorBidi" w:cstheme="majorBidi"/>
          <w:sz w:val="24"/>
          <w:szCs w:val="24"/>
        </w:rPr>
        <w:t>Emax</w:t>
      </w:r>
      <w:proofErr w:type="spellEnd"/>
      <w:r w:rsidRPr="006923AD">
        <w:rPr>
          <w:rFonts w:asciiTheme="majorBidi" w:hAnsiTheme="majorBidi" w:cstheme="majorBidi"/>
          <w:sz w:val="24"/>
          <w:szCs w:val="24"/>
        </w:rPr>
        <w:t xml:space="preserve"> : c’est la hauteur du plateau. L’effet maximal dépend de l’activité intrinsèque de l’agoniste.</w:t>
      </w:r>
    </w:p>
    <w:p w:rsidR="009D0DE2" w:rsidRPr="006923AD" w:rsidRDefault="009D0DE2" w:rsidP="009D0DE2">
      <w:pPr>
        <w:tabs>
          <w:tab w:val="left" w:pos="6946"/>
        </w:tabs>
        <w:autoSpaceDE w:val="0"/>
        <w:autoSpaceDN w:val="0"/>
        <w:adjustRightInd w:val="0"/>
        <w:spacing w:after="0" w:line="360" w:lineRule="auto"/>
        <w:jc w:val="both"/>
        <w:rPr>
          <w:rFonts w:asciiTheme="majorBidi" w:hAnsiTheme="majorBidi" w:cstheme="majorBidi"/>
          <w:sz w:val="24"/>
          <w:szCs w:val="24"/>
        </w:rPr>
      </w:pPr>
      <w:r w:rsidRPr="006923AD">
        <w:rPr>
          <w:rFonts w:asciiTheme="majorBidi" w:hAnsiTheme="majorBidi" w:cstheme="majorBidi"/>
          <w:sz w:val="24"/>
          <w:szCs w:val="24"/>
        </w:rPr>
        <w:t xml:space="preserve">- </w:t>
      </w:r>
      <w:r w:rsidRPr="006923AD">
        <w:rPr>
          <w:rFonts w:asciiTheme="majorBidi" w:hAnsiTheme="majorBidi" w:cstheme="majorBidi"/>
          <w:b/>
          <w:bCs/>
          <w:sz w:val="24"/>
          <w:szCs w:val="24"/>
        </w:rPr>
        <w:t xml:space="preserve">La DE50 </w:t>
      </w:r>
      <w:r w:rsidRPr="006923AD">
        <w:rPr>
          <w:rFonts w:asciiTheme="majorBidi" w:hAnsiTheme="majorBidi" w:cstheme="majorBidi"/>
          <w:sz w:val="24"/>
          <w:szCs w:val="24"/>
        </w:rPr>
        <w:t>(dose efficace 50) : dose d’agoniste qui permet d’obtenir 50% de son effet maximum.</w:t>
      </w:r>
    </w:p>
    <w:p w:rsidR="009D0DE2" w:rsidRPr="006923AD" w:rsidRDefault="009D0DE2" w:rsidP="001823DE">
      <w:pPr>
        <w:tabs>
          <w:tab w:val="left" w:pos="6946"/>
        </w:tabs>
        <w:autoSpaceDE w:val="0"/>
        <w:autoSpaceDN w:val="0"/>
        <w:adjustRightInd w:val="0"/>
        <w:spacing w:after="0" w:line="360" w:lineRule="auto"/>
        <w:ind w:firstLine="567"/>
        <w:jc w:val="both"/>
        <w:rPr>
          <w:rFonts w:asciiTheme="majorBidi" w:hAnsiTheme="majorBidi" w:cstheme="majorBidi"/>
          <w:sz w:val="24"/>
          <w:szCs w:val="24"/>
        </w:rPr>
      </w:pPr>
      <w:r w:rsidRPr="006923AD">
        <w:rPr>
          <w:rFonts w:asciiTheme="majorBidi" w:hAnsiTheme="majorBidi" w:cstheme="majorBidi"/>
          <w:sz w:val="24"/>
          <w:szCs w:val="24"/>
        </w:rPr>
        <w:t>C’est le paramètre qui permet de quantifier l’effet d’un agoniste. La DE50 caractérise la puissance de l’agoniste.</w:t>
      </w:r>
    </w:p>
    <w:p w:rsidR="00C00704" w:rsidRPr="009D0DE2" w:rsidRDefault="009D0DE2" w:rsidP="007642DF">
      <w:pPr>
        <w:tabs>
          <w:tab w:val="left" w:pos="6946"/>
        </w:tabs>
        <w:spacing w:line="360" w:lineRule="auto"/>
        <w:ind w:firstLine="567"/>
        <w:jc w:val="both"/>
        <w:rPr>
          <w:rFonts w:asciiTheme="majorBidi" w:hAnsiTheme="majorBidi" w:cstheme="majorBidi"/>
          <w:sz w:val="24"/>
          <w:szCs w:val="24"/>
        </w:rPr>
      </w:pPr>
      <w:r w:rsidRPr="009D0DE2">
        <w:rPr>
          <w:rFonts w:asciiTheme="majorBidi" w:hAnsiTheme="majorBidi" w:cstheme="majorBidi"/>
          <w:sz w:val="24"/>
          <w:szCs w:val="24"/>
        </w:rPr>
        <w:t>Plus la DE50 d’un agoniste est faible, plus l’agoniste est puissant.</w:t>
      </w:r>
    </w:p>
    <w:p w:rsidR="009D0DE2" w:rsidRPr="009D0DE2" w:rsidRDefault="009D0DE2" w:rsidP="009D0DE2">
      <w:pPr>
        <w:tabs>
          <w:tab w:val="left" w:pos="6946"/>
        </w:tabs>
        <w:autoSpaceDE w:val="0"/>
        <w:autoSpaceDN w:val="0"/>
        <w:adjustRightInd w:val="0"/>
        <w:spacing w:after="0" w:line="360" w:lineRule="auto"/>
        <w:jc w:val="both"/>
        <w:rPr>
          <w:rFonts w:asciiTheme="majorBidi" w:hAnsiTheme="majorBidi" w:cstheme="majorBidi"/>
          <w:b/>
          <w:bCs/>
          <w:sz w:val="24"/>
          <w:szCs w:val="24"/>
        </w:rPr>
      </w:pPr>
      <w:r w:rsidRPr="009D0DE2">
        <w:rPr>
          <w:rFonts w:asciiTheme="majorBidi" w:hAnsiTheme="majorBidi" w:cstheme="majorBidi"/>
          <w:b/>
          <w:bCs/>
          <w:sz w:val="24"/>
          <w:szCs w:val="24"/>
        </w:rPr>
        <w:lastRenderedPageBreak/>
        <w:t>Distinction des notions de puissance et d’efficacité</w:t>
      </w:r>
    </w:p>
    <w:p w:rsidR="009D0DE2" w:rsidRPr="009D0DE2" w:rsidRDefault="009D0DE2" w:rsidP="00A45A35">
      <w:pPr>
        <w:tabs>
          <w:tab w:val="left" w:pos="6946"/>
        </w:tabs>
        <w:autoSpaceDE w:val="0"/>
        <w:autoSpaceDN w:val="0"/>
        <w:adjustRightInd w:val="0"/>
        <w:spacing w:after="0" w:line="360" w:lineRule="auto"/>
        <w:ind w:firstLine="567"/>
        <w:jc w:val="both"/>
        <w:rPr>
          <w:rFonts w:asciiTheme="majorBidi" w:hAnsiTheme="majorBidi" w:cstheme="majorBidi"/>
          <w:sz w:val="24"/>
          <w:szCs w:val="24"/>
        </w:rPr>
      </w:pPr>
      <w:r w:rsidRPr="009D0DE2">
        <w:rPr>
          <w:rFonts w:asciiTheme="majorBidi" w:hAnsiTheme="majorBidi" w:cstheme="majorBidi"/>
          <w:sz w:val="24"/>
          <w:szCs w:val="24"/>
        </w:rPr>
        <w:t>La comparaison des courbes dose-effet obtenues pour plusieurs agonistes d’un même récepteur permet de les classer en comparant leur puissance et leur efficacité.</w:t>
      </w:r>
    </w:p>
    <w:p w:rsidR="009D0DE2" w:rsidRPr="009D0DE2" w:rsidRDefault="009D0DE2" w:rsidP="008D1947">
      <w:pPr>
        <w:tabs>
          <w:tab w:val="left" w:pos="6946"/>
        </w:tabs>
        <w:autoSpaceDE w:val="0"/>
        <w:autoSpaceDN w:val="0"/>
        <w:adjustRightInd w:val="0"/>
        <w:spacing w:after="0" w:line="360" w:lineRule="auto"/>
        <w:ind w:firstLine="567"/>
        <w:jc w:val="both"/>
        <w:rPr>
          <w:rFonts w:asciiTheme="majorBidi" w:hAnsiTheme="majorBidi" w:cstheme="majorBidi"/>
          <w:sz w:val="24"/>
          <w:szCs w:val="24"/>
        </w:rPr>
      </w:pPr>
      <w:r w:rsidRPr="009D0DE2">
        <w:rPr>
          <w:rFonts w:asciiTheme="majorBidi" w:hAnsiTheme="majorBidi" w:cstheme="majorBidi"/>
          <w:sz w:val="24"/>
          <w:szCs w:val="24"/>
        </w:rPr>
        <w:t>Sur les deux figures ci-dessous, A est plus puissant que B et C. La notion de puissance s’appuie sur celle de l’affinité : plus l’affinité d’un agoniste pour un récepteur est grande plus sa puissance est élevée.</w:t>
      </w:r>
    </w:p>
    <w:p w:rsidR="009D0DE2" w:rsidRPr="009D0DE2" w:rsidRDefault="009D0DE2" w:rsidP="00A45A35">
      <w:pPr>
        <w:tabs>
          <w:tab w:val="left" w:pos="6946"/>
        </w:tabs>
        <w:autoSpaceDE w:val="0"/>
        <w:autoSpaceDN w:val="0"/>
        <w:adjustRightInd w:val="0"/>
        <w:spacing w:after="0" w:line="360" w:lineRule="auto"/>
        <w:ind w:firstLine="567"/>
        <w:jc w:val="both"/>
        <w:rPr>
          <w:rFonts w:asciiTheme="majorBidi" w:hAnsiTheme="majorBidi" w:cstheme="majorBidi"/>
          <w:sz w:val="24"/>
          <w:szCs w:val="24"/>
        </w:rPr>
      </w:pPr>
      <w:r w:rsidRPr="009D0DE2">
        <w:rPr>
          <w:rFonts w:asciiTheme="majorBidi" w:hAnsiTheme="majorBidi" w:cstheme="majorBidi"/>
          <w:sz w:val="24"/>
          <w:szCs w:val="24"/>
        </w:rPr>
        <w:t>A, B et C sont capables de produire l’effet maximal, ils ont la même efficacité</w:t>
      </w:r>
      <w:r w:rsidR="00BE4C57">
        <w:rPr>
          <w:rFonts w:asciiTheme="majorBidi" w:hAnsiTheme="majorBidi" w:cstheme="majorBidi"/>
          <w:sz w:val="24"/>
          <w:szCs w:val="24"/>
        </w:rPr>
        <w:t>.</w:t>
      </w:r>
    </w:p>
    <w:p w:rsidR="009D0DE2" w:rsidRPr="009D0DE2" w:rsidRDefault="009D0DE2" w:rsidP="00C00704">
      <w:pPr>
        <w:tabs>
          <w:tab w:val="left" w:pos="6946"/>
        </w:tabs>
        <w:spacing w:line="360" w:lineRule="auto"/>
        <w:jc w:val="center"/>
        <w:rPr>
          <w:rFonts w:asciiTheme="majorBidi" w:hAnsiTheme="majorBidi" w:cstheme="majorBidi"/>
          <w:sz w:val="24"/>
          <w:szCs w:val="24"/>
        </w:rPr>
      </w:pPr>
      <w:r w:rsidRPr="009D0DE2">
        <w:rPr>
          <w:rFonts w:asciiTheme="majorBidi" w:hAnsiTheme="majorBidi" w:cstheme="majorBidi"/>
          <w:noProof/>
          <w:sz w:val="24"/>
          <w:szCs w:val="24"/>
          <w:lang w:eastAsia="fr-FR"/>
        </w:rPr>
        <w:drawing>
          <wp:inline distT="0" distB="0" distL="0" distR="0" wp14:anchorId="2DADDDC5" wp14:editId="022186FE">
            <wp:extent cx="3876675" cy="1943100"/>
            <wp:effectExtent l="0" t="0" r="952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76675" cy="1943100"/>
                    </a:xfrm>
                    <a:prstGeom prst="rect">
                      <a:avLst/>
                    </a:prstGeom>
                    <a:noFill/>
                    <a:ln>
                      <a:noFill/>
                    </a:ln>
                  </pic:spPr>
                </pic:pic>
              </a:graphicData>
            </a:graphic>
          </wp:inline>
        </w:drawing>
      </w:r>
    </w:p>
    <w:p w:rsidR="009D0DE2" w:rsidRPr="009D0DE2" w:rsidRDefault="00586F2F" w:rsidP="009D0DE2">
      <w:pPr>
        <w:tabs>
          <w:tab w:val="left" w:pos="6946"/>
        </w:tabs>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2.6</w:t>
      </w:r>
      <w:r w:rsidR="00C41F5F">
        <w:rPr>
          <w:rFonts w:asciiTheme="majorBidi" w:hAnsiTheme="majorBidi" w:cstheme="majorBidi"/>
          <w:b/>
          <w:bCs/>
          <w:sz w:val="24"/>
          <w:szCs w:val="24"/>
        </w:rPr>
        <w:t>.</w:t>
      </w:r>
      <w:r w:rsidR="007840E1">
        <w:rPr>
          <w:rFonts w:asciiTheme="majorBidi" w:hAnsiTheme="majorBidi" w:cstheme="majorBidi"/>
          <w:b/>
          <w:bCs/>
          <w:sz w:val="24"/>
          <w:szCs w:val="24"/>
        </w:rPr>
        <w:t>3.</w:t>
      </w:r>
      <w:r w:rsidR="009D0DE2" w:rsidRPr="009D0DE2">
        <w:rPr>
          <w:rFonts w:asciiTheme="majorBidi" w:hAnsiTheme="majorBidi" w:cstheme="majorBidi"/>
          <w:b/>
          <w:bCs/>
          <w:sz w:val="24"/>
          <w:szCs w:val="24"/>
        </w:rPr>
        <w:t xml:space="preserve"> Antagonistes</w:t>
      </w:r>
    </w:p>
    <w:p w:rsidR="009D0DE2" w:rsidRPr="006923AD" w:rsidRDefault="009D0DE2" w:rsidP="009D0DE2">
      <w:pPr>
        <w:tabs>
          <w:tab w:val="left" w:pos="6946"/>
        </w:tabs>
        <w:autoSpaceDE w:val="0"/>
        <w:autoSpaceDN w:val="0"/>
        <w:adjustRightInd w:val="0"/>
        <w:spacing w:after="0" w:line="360" w:lineRule="auto"/>
        <w:jc w:val="both"/>
        <w:rPr>
          <w:rFonts w:asciiTheme="majorBidi" w:hAnsiTheme="majorBidi" w:cstheme="majorBidi"/>
          <w:b/>
          <w:bCs/>
          <w:sz w:val="24"/>
          <w:szCs w:val="24"/>
        </w:rPr>
      </w:pPr>
      <w:r w:rsidRPr="009D0DE2">
        <w:rPr>
          <w:rFonts w:asciiTheme="majorBidi" w:hAnsiTheme="majorBidi" w:cstheme="majorBidi"/>
          <w:b/>
          <w:bCs/>
          <w:sz w:val="24"/>
          <w:szCs w:val="24"/>
        </w:rPr>
        <w:t xml:space="preserve">Définition de la </w:t>
      </w:r>
      <w:r w:rsidRPr="006923AD">
        <w:rPr>
          <w:rFonts w:asciiTheme="majorBidi" w:hAnsiTheme="majorBidi" w:cstheme="majorBidi"/>
          <w:b/>
          <w:bCs/>
          <w:sz w:val="24"/>
          <w:szCs w:val="24"/>
        </w:rPr>
        <w:t>notion d’antagoniste :</w:t>
      </w:r>
    </w:p>
    <w:p w:rsidR="009D0DE2" w:rsidRPr="006923AD" w:rsidRDefault="009D0DE2" w:rsidP="00175F38">
      <w:pPr>
        <w:tabs>
          <w:tab w:val="left" w:pos="6946"/>
        </w:tabs>
        <w:autoSpaceDE w:val="0"/>
        <w:autoSpaceDN w:val="0"/>
        <w:adjustRightInd w:val="0"/>
        <w:spacing w:after="0" w:line="360" w:lineRule="auto"/>
        <w:ind w:firstLine="567"/>
        <w:jc w:val="both"/>
        <w:rPr>
          <w:rFonts w:asciiTheme="majorBidi" w:hAnsiTheme="majorBidi" w:cstheme="majorBidi"/>
          <w:sz w:val="24"/>
          <w:szCs w:val="24"/>
        </w:rPr>
      </w:pPr>
      <w:r w:rsidRPr="006923AD">
        <w:rPr>
          <w:rFonts w:asciiTheme="majorBidi" w:hAnsiTheme="majorBidi" w:cstheme="majorBidi"/>
          <w:sz w:val="24"/>
          <w:szCs w:val="24"/>
        </w:rPr>
        <w:t>Substance qui se lie à un récepteur spécifique sans provoquer d’effet mais qui peut ainsi bloquer l’action du médiateur endogène en s’opposant à la liaison du médiateur à son récepteur.</w:t>
      </w:r>
    </w:p>
    <w:p w:rsidR="009D0DE2" w:rsidRPr="006923AD" w:rsidRDefault="009D0DE2" w:rsidP="00175F38">
      <w:pPr>
        <w:tabs>
          <w:tab w:val="left" w:pos="6946"/>
        </w:tabs>
        <w:autoSpaceDE w:val="0"/>
        <w:autoSpaceDN w:val="0"/>
        <w:adjustRightInd w:val="0"/>
        <w:spacing w:after="0" w:line="360" w:lineRule="auto"/>
        <w:ind w:firstLine="567"/>
        <w:jc w:val="both"/>
        <w:rPr>
          <w:rFonts w:asciiTheme="majorBidi" w:hAnsiTheme="majorBidi" w:cstheme="majorBidi"/>
          <w:sz w:val="24"/>
          <w:szCs w:val="24"/>
        </w:rPr>
      </w:pPr>
      <w:r w:rsidRPr="006923AD">
        <w:rPr>
          <w:rFonts w:asciiTheme="majorBidi" w:hAnsiTheme="majorBidi" w:cstheme="majorBidi"/>
          <w:sz w:val="24"/>
          <w:szCs w:val="24"/>
        </w:rPr>
        <w:t>Deux types d’antagonistes sont décrits : les antagonistes compétitifs, l’antagoniste se lie sur le même site que le médiateur endogène et les antagonistes non compétitifs, l’antagoniste se lie à un autre site du récepteur.</w:t>
      </w:r>
    </w:p>
    <w:p w:rsidR="009D0DE2" w:rsidRPr="009D0DE2" w:rsidRDefault="009D0DE2" w:rsidP="00175F38">
      <w:pPr>
        <w:tabs>
          <w:tab w:val="left" w:pos="6946"/>
        </w:tabs>
        <w:autoSpaceDE w:val="0"/>
        <w:autoSpaceDN w:val="0"/>
        <w:adjustRightInd w:val="0"/>
        <w:spacing w:after="0" w:line="360" w:lineRule="auto"/>
        <w:ind w:firstLine="567"/>
        <w:jc w:val="both"/>
        <w:rPr>
          <w:rFonts w:asciiTheme="majorBidi" w:hAnsiTheme="majorBidi" w:cstheme="majorBidi"/>
          <w:sz w:val="24"/>
          <w:szCs w:val="24"/>
        </w:rPr>
      </w:pPr>
      <w:r w:rsidRPr="009D0DE2">
        <w:rPr>
          <w:rFonts w:asciiTheme="majorBidi" w:hAnsiTheme="majorBidi" w:cstheme="majorBidi"/>
          <w:sz w:val="24"/>
          <w:szCs w:val="24"/>
        </w:rPr>
        <w:t>L’antagoniste n’ayant pas d’effet propre, pour évaluer l’effet d’un antagoniste il faut réaliser des courbes dose-réponse de l’agoniste avec des concentrations croissantes d’antagoniste.</w:t>
      </w:r>
    </w:p>
    <w:p w:rsidR="009D0DE2" w:rsidRPr="009D0DE2" w:rsidRDefault="009D0DE2" w:rsidP="009D0DE2">
      <w:pPr>
        <w:tabs>
          <w:tab w:val="left" w:pos="6946"/>
        </w:tabs>
        <w:autoSpaceDE w:val="0"/>
        <w:autoSpaceDN w:val="0"/>
        <w:adjustRightInd w:val="0"/>
        <w:spacing w:after="0" w:line="360" w:lineRule="auto"/>
        <w:jc w:val="both"/>
        <w:rPr>
          <w:rFonts w:asciiTheme="majorBidi" w:hAnsiTheme="majorBidi" w:cstheme="majorBidi"/>
          <w:b/>
          <w:bCs/>
          <w:sz w:val="24"/>
          <w:szCs w:val="24"/>
        </w:rPr>
      </w:pPr>
      <w:r w:rsidRPr="009D0DE2">
        <w:rPr>
          <w:rFonts w:asciiTheme="majorBidi" w:hAnsiTheme="majorBidi" w:cstheme="majorBidi"/>
          <w:b/>
          <w:bCs/>
          <w:sz w:val="24"/>
          <w:szCs w:val="24"/>
        </w:rPr>
        <w:t>Antagonistes compétitifs</w:t>
      </w:r>
    </w:p>
    <w:p w:rsidR="009D0DE2" w:rsidRPr="009D0DE2" w:rsidRDefault="009D0DE2" w:rsidP="00175F38">
      <w:pPr>
        <w:tabs>
          <w:tab w:val="left" w:pos="6946"/>
        </w:tabs>
        <w:autoSpaceDE w:val="0"/>
        <w:autoSpaceDN w:val="0"/>
        <w:adjustRightInd w:val="0"/>
        <w:spacing w:after="0" w:line="360" w:lineRule="auto"/>
        <w:ind w:firstLine="567"/>
        <w:jc w:val="both"/>
        <w:rPr>
          <w:rFonts w:asciiTheme="majorBidi" w:hAnsiTheme="majorBidi" w:cstheme="majorBidi"/>
          <w:sz w:val="24"/>
          <w:szCs w:val="24"/>
        </w:rPr>
      </w:pPr>
      <w:r w:rsidRPr="009D0DE2">
        <w:rPr>
          <w:rFonts w:asciiTheme="majorBidi" w:hAnsiTheme="majorBidi" w:cstheme="majorBidi"/>
          <w:sz w:val="24"/>
          <w:szCs w:val="24"/>
        </w:rPr>
        <w:t>Lorsque l’antagoniste se lie au niveau du récepteur sur le même site que l’agoniste, il y a compétition entre l’agoniste et l’antagoniste vis à vis du même site d’action. En présence de l’antagoniste, il est nécessaire d’augmenter la dose d’agoniste pour obtenir la même réponse qu’en son absence : les courbes dose-réponse sont déplacées (vers la droite) vers des concentrations d’agoniste plus élevées.</w:t>
      </w:r>
    </w:p>
    <w:p w:rsidR="009D0DE2" w:rsidRPr="009D0DE2" w:rsidRDefault="009D0DE2" w:rsidP="00BE4C57">
      <w:pPr>
        <w:tabs>
          <w:tab w:val="left" w:pos="6946"/>
        </w:tabs>
        <w:autoSpaceDE w:val="0"/>
        <w:autoSpaceDN w:val="0"/>
        <w:adjustRightInd w:val="0"/>
        <w:spacing w:after="0" w:line="360" w:lineRule="auto"/>
        <w:ind w:firstLine="567"/>
        <w:jc w:val="both"/>
        <w:rPr>
          <w:rFonts w:asciiTheme="majorBidi" w:hAnsiTheme="majorBidi" w:cstheme="majorBidi"/>
          <w:sz w:val="24"/>
          <w:szCs w:val="24"/>
        </w:rPr>
      </w:pPr>
      <w:r w:rsidRPr="009D0DE2">
        <w:rPr>
          <w:rFonts w:asciiTheme="majorBidi" w:hAnsiTheme="majorBidi" w:cstheme="majorBidi"/>
          <w:sz w:val="24"/>
          <w:szCs w:val="24"/>
        </w:rPr>
        <w:lastRenderedPageBreak/>
        <w:t>L’effet maximal est toujours obtenu mais avec une conce</w:t>
      </w:r>
      <w:r w:rsidR="00566A6D">
        <w:rPr>
          <w:rFonts w:asciiTheme="majorBidi" w:hAnsiTheme="majorBidi" w:cstheme="majorBidi"/>
          <w:sz w:val="24"/>
          <w:szCs w:val="24"/>
        </w:rPr>
        <w:t>ntration d’agoniste plus élevée</w:t>
      </w:r>
      <w:bookmarkStart w:id="0" w:name="_GoBack"/>
      <w:bookmarkEnd w:id="0"/>
      <w:r w:rsidRPr="009D0DE2">
        <w:rPr>
          <w:rFonts w:asciiTheme="majorBidi" w:hAnsiTheme="majorBidi" w:cstheme="majorBidi"/>
          <w:sz w:val="24"/>
          <w:szCs w:val="24"/>
        </w:rPr>
        <w:t>: l’antagonisme est dit surmontable ou réversible.</w:t>
      </w:r>
    </w:p>
    <w:p w:rsidR="009D0DE2" w:rsidRPr="009D0DE2" w:rsidRDefault="009D0DE2" w:rsidP="001C5B74">
      <w:pPr>
        <w:tabs>
          <w:tab w:val="left" w:pos="6946"/>
        </w:tabs>
        <w:autoSpaceDE w:val="0"/>
        <w:autoSpaceDN w:val="0"/>
        <w:adjustRightInd w:val="0"/>
        <w:spacing w:after="0" w:line="360" w:lineRule="auto"/>
        <w:jc w:val="center"/>
        <w:rPr>
          <w:rFonts w:asciiTheme="majorBidi" w:hAnsiTheme="majorBidi" w:cstheme="majorBidi"/>
          <w:sz w:val="24"/>
          <w:szCs w:val="24"/>
        </w:rPr>
      </w:pPr>
      <w:r w:rsidRPr="009D0DE2">
        <w:rPr>
          <w:rFonts w:asciiTheme="majorBidi" w:hAnsiTheme="majorBidi" w:cstheme="majorBidi"/>
          <w:noProof/>
          <w:sz w:val="24"/>
          <w:szCs w:val="24"/>
          <w:lang w:eastAsia="fr-FR"/>
        </w:rPr>
        <w:drawing>
          <wp:inline distT="0" distB="0" distL="0" distR="0" wp14:anchorId="131486D4" wp14:editId="15853362">
            <wp:extent cx="4324350" cy="2143125"/>
            <wp:effectExtent l="0" t="0" r="0" b="952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24350" cy="2143125"/>
                    </a:xfrm>
                    <a:prstGeom prst="rect">
                      <a:avLst/>
                    </a:prstGeom>
                    <a:noFill/>
                    <a:ln>
                      <a:noFill/>
                    </a:ln>
                  </pic:spPr>
                </pic:pic>
              </a:graphicData>
            </a:graphic>
          </wp:inline>
        </w:drawing>
      </w:r>
    </w:p>
    <w:p w:rsidR="009D0DE2" w:rsidRPr="009D0DE2" w:rsidRDefault="009D0DE2" w:rsidP="001C5B74">
      <w:pPr>
        <w:tabs>
          <w:tab w:val="left" w:pos="6946"/>
        </w:tabs>
        <w:autoSpaceDE w:val="0"/>
        <w:autoSpaceDN w:val="0"/>
        <w:adjustRightInd w:val="0"/>
        <w:spacing w:after="0" w:line="360" w:lineRule="auto"/>
        <w:jc w:val="center"/>
        <w:rPr>
          <w:rFonts w:asciiTheme="majorBidi" w:hAnsiTheme="majorBidi" w:cstheme="majorBidi"/>
          <w:sz w:val="24"/>
          <w:szCs w:val="24"/>
        </w:rPr>
      </w:pPr>
      <w:r w:rsidRPr="009D0DE2">
        <w:rPr>
          <w:rFonts w:asciiTheme="majorBidi" w:hAnsiTheme="majorBidi" w:cstheme="majorBidi"/>
          <w:b/>
          <w:bCs/>
          <w:sz w:val="24"/>
          <w:szCs w:val="24"/>
        </w:rPr>
        <w:t>Log</w:t>
      </w:r>
      <w:r w:rsidRPr="009D0DE2">
        <w:rPr>
          <w:rFonts w:asciiTheme="majorBidi" w:hAnsiTheme="majorBidi" w:cstheme="majorBidi"/>
          <w:sz w:val="24"/>
          <w:szCs w:val="24"/>
        </w:rPr>
        <w:t xml:space="preserve"> </w:t>
      </w:r>
      <w:r w:rsidRPr="009D0DE2">
        <w:rPr>
          <w:rFonts w:asciiTheme="majorBidi" w:hAnsiTheme="majorBidi" w:cstheme="majorBidi"/>
          <w:b/>
          <w:bCs/>
          <w:sz w:val="24"/>
          <w:szCs w:val="24"/>
        </w:rPr>
        <w:t>(concentration</w:t>
      </w:r>
      <w:r w:rsidRPr="009D0DE2">
        <w:rPr>
          <w:rFonts w:asciiTheme="majorBidi" w:hAnsiTheme="majorBidi" w:cstheme="majorBidi"/>
          <w:sz w:val="24"/>
          <w:szCs w:val="24"/>
        </w:rPr>
        <w:t xml:space="preserve"> </w:t>
      </w:r>
      <w:r w:rsidRPr="009D0DE2">
        <w:rPr>
          <w:rFonts w:asciiTheme="majorBidi" w:hAnsiTheme="majorBidi" w:cstheme="majorBidi"/>
          <w:b/>
          <w:bCs/>
          <w:sz w:val="24"/>
          <w:szCs w:val="24"/>
        </w:rPr>
        <w:t>d’agoniste en</w:t>
      </w:r>
      <w:r w:rsidRPr="009D0DE2">
        <w:rPr>
          <w:rFonts w:asciiTheme="majorBidi" w:hAnsiTheme="majorBidi" w:cstheme="majorBidi"/>
          <w:sz w:val="24"/>
          <w:szCs w:val="24"/>
        </w:rPr>
        <w:t xml:space="preserve"> </w:t>
      </w:r>
      <w:r w:rsidRPr="009D0DE2">
        <w:rPr>
          <w:rFonts w:asciiTheme="majorBidi" w:hAnsiTheme="majorBidi" w:cstheme="majorBidi"/>
          <w:b/>
          <w:bCs/>
          <w:sz w:val="24"/>
          <w:szCs w:val="24"/>
        </w:rPr>
        <w:t>mol/</w:t>
      </w:r>
      <w:proofErr w:type="gramStart"/>
      <w:r w:rsidRPr="009D0DE2">
        <w:rPr>
          <w:rFonts w:asciiTheme="majorBidi" w:hAnsiTheme="majorBidi" w:cstheme="majorBidi"/>
          <w:b/>
          <w:bCs/>
          <w:sz w:val="24"/>
          <w:szCs w:val="24"/>
        </w:rPr>
        <w:t>l )</w:t>
      </w:r>
      <w:proofErr w:type="gramEnd"/>
    </w:p>
    <w:p w:rsidR="009D0DE2" w:rsidRPr="009D0DE2" w:rsidRDefault="009D0DE2" w:rsidP="009D0DE2">
      <w:pPr>
        <w:tabs>
          <w:tab w:val="left" w:pos="6946"/>
        </w:tabs>
        <w:autoSpaceDE w:val="0"/>
        <w:autoSpaceDN w:val="0"/>
        <w:adjustRightInd w:val="0"/>
        <w:spacing w:after="0" w:line="360" w:lineRule="auto"/>
        <w:jc w:val="both"/>
        <w:rPr>
          <w:rFonts w:asciiTheme="majorBidi" w:hAnsiTheme="majorBidi" w:cstheme="majorBidi"/>
          <w:sz w:val="24"/>
          <w:szCs w:val="24"/>
        </w:rPr>
      </w:pPr>
    </w:p>
    <w:p w:rsidR="009D0DE2" w:rsidRPr="009D0DE2" w:rsidRDefault="009D0DE2" w:rsidP="009D0DE2">
      <w:pPr>
        <w:tabs>
          <w:tab w:val="left" w:pos="6946"/>
        </w:tabs>
        <w:autoSpaceDE w:val="0"/>
        <w:autoSpaceDN w:val="0"/>
        <w:adjustRightInd w:val="0"/>
        <w:spacing w:after="0" w:line="360" w:lineRule="auto"/>
        <w:jc w:val="both"/>
        <w:rPr>
          <w:rFonts w:asciiTheme="majorBidi" w:hAnsiTheme="majorBidi" w:cstheme="majorBidi"/>
          <w:b/>
          <w:bCs/>
          <w:sz w:val="24"/>
          <w:szCs w:val="24"/>
        </w:rPr>
      </w:pPr>
      <w:r w:rsidRPr="009D0DE2">
        <w:rPr>
          <w:rFonts w:asciiTheme="majorBidi" w:hAnsiTheme="majorBidi" w:cstheme="majorBidi"/>
          <w:b/>
          <w:bCs/>
          <w:sz w:val="24"/>
          <w:szCs w:val="24"/>
        </w:rPr>
        <w:t>Antagonistes non compétitifs</w:t>
      </w:r>
    </w:p>
    <w:p w:rsidR="009D0DE2" w:rsidRPr="009D0DE2" w:rsidRDefault="009D0DE2" w:rsidP="00BE4C57">
      <w:pPr>
        <w:tabs>
          <w:tab w:val="left" w:pos="6946"/>
        </w:tabs>
        <w:autoSpaceDE w:val="0"/>
        <w:autoSpaceDN w:val="0"/>
        <w:adjustRightInd w:val="0"/>
        <w:spacing w:after="0" w:line="360" w:lineRule="auto"/>
        <w:ind w:firstLine="567"/>
        <w:jc w:val="both"/>
        <w:rPr>
          <w:rFonts w:asciiTheme="majorBidi" w:hAnsiTheme="majorBidi" w:cstheme="majorBidi"/>
          <w:sz w:val="24"/>
          <w:szCs w:val="24"/>
        </w:rPr>
      </w:pPr>
      <w:r w:rsidRPr="009D0DE2">
        <w:rPr>
          <w:rFonts w:asciiTheme="majorBidi" w:hAnsiTheme="majorBidi" w:cstheme="majorBidi"/>
          <w:sz w:val="24"/>
          <w:szCs w:val="24"/>
        </w:rPr>
        <w:t xml:space="preserve">L’antagoniste se lie au niveau du récepteur sur un site distinct du site de liaison de l’agoniste (site allostérique) et entraîne des modifications </w:t>
      </w:r>
      <w:proofErr w:type="spellStart"/>
      <w:r w:rsidRPr="009D0DE2">
        <w:rPr>
          <w:rFonts w:asciiTheme="majorBidi" w:hAnsiTheme="majorBidi" w:cstheme="majorBidi"/>
          <w:sz w:val="24"/>
          <w:szCs w:val="24"/>
        </w:rPr>
        <w:t>conformationnelles</w:t>
      </w:r>
      <w:proofErr w:type="spellEnd"/>
      <w:r w:rsidRPr="009D0DE2">
        <w:rPr>
          <w:rFonts w:asciiTheme="majorBidi" w:hAnsiTheme="majorBidi" w:cstheme="majorBidi"/>
          <w:sz w:val="24"/>
          <w:szCs w:val="24"/>
        </w:rPr>
        <w:t xml:space="preserve"> du récepteur avec diminution de l’affinité du récepteur pour son agoniste ; l’association de l’antagoniste au récepteur est pratiquement irréversible. Dans ce cas on observe une diminution de l’efficacité de l’agoniste : l’antagonisme est insurmontable.</w:t>
      </w:r>
    </w:p>
    <w:p w:rsidR="009D0DE2" w:rsidRPr="009D0DE2" w:rsidRDefault="009D0DE2" w:rsidP="009D0DE2">
      <w:pPr>
        <w:tabs>
          <w:tab w:val="left" w:pos="6946"/>
        </w:tabs>
        <w:autoSpaceDE w:val="0"/>
        <w:autoSpaceDN w:val="0"/>
        <w:adjustRightInd w:val="0"/>
        <w:spacing w:after="0" w:line="360" w:lineRule="auto"/>
        <w:jc w:val="both"/>
        <w:rPr>
          <w:rFonts w:asciiTheme="majorBidi" w:hAnsiTheme="majorBidi" w:cstheme="majorBidi"/>
          <w:sz w:val="24"/>
          <w:szCs w:val="24"/>
        </w:rPr>
      </w:pPr>
      <w:r w:rsidRPr="009D0DE2">
        <w:rPr>
          <w:rFonts w:asciiTheme="majorBidi" w:hAnsiTheme="majorBidi" w:cstheme="majorBidi"/>
          <w:noProof/>
          <w:sz w:val="24"/>
          <w:szCs w:val="24"/>
          <w:lang w:eastAsia="fr-FR"/>
        </w:rPr>
        <w:drawing>
          <wp:inline distT="0" distB="0" distL="0" distR="0" wp14:anchorId="3210EB34" wp14:editId="4E1BF0FF">
            <wp:extent cx="4143375" cy="2790825"/>
            <wp:effectExtent l="0" t="0" r="9525" b="95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43375" cy="2790825"/>
                    </a:xfrm>
                    <a:prstGeom prst="rect">
                      <a:avLst/>
                    </a:prstGeom>
                    <a:noFill/>
                    <a:ln>
                      <a:noFill/>
                    </a:ln>
                  </pic:spPr>
                </pic:pic>
              </a:graphicData>
            </a:graphic>
          </wp:inline>
        </w:drawing>
      </w:r>
    </w:p>
    <w:p w:rsidR="009D0DE2" w:rsidRDefault="009D0DE2" w:rsidP="009D0DE2">
      <w:pPr>
        <w:tabs>
          <w:tab w:val="left" w:pos="6946"/>
        </w:tabs>
        <w:autoSpaceDE w:val="0"/>
        <w:autoSpaceDN w:val="0"/>
        <w:adjustRightInd w:val="0"/>
        <w:spacing w:after="0" w:line="360" w:lineRule="auto"/>
        <w:jc w:val="both"/>
        <w:rPr>
          <w:rFonts w:asciiTheme="majorBidi" w:hAnsiTheme="majorBidi" w:cstheme="majorBidi"/>
          <w:sz w:val="24"/>
          <w:szCs w:val="24"/>
        </w:rPr>
      </w:pPr>
    </w:p>
    <w:p w:rsidR="00BE4C57" w:rsidRDefault="00BE4C57" w:rsidP="009D0DE2">
      <w:pPr>
        <w:tabs>
          <w:tab w:val="left" w:pos="6946"/>
        </w:tabs>
        <w:autoSpaceDE w:val="0"/>
        <w:autoSpaceDN w:val="0"/>
        <w:adjustRightInd w:val="0"/>
        <w:spacing w:after="0" w:line="360" w:lineRule="auto"/>
        <w:jc w:val="both"/>
        <w:rPr>
          <w:rFonts w:asciiTheme="majorBidi" w:hAnsiTheme="majorBidi" w:cstheme="majorBidi"/>
          <w:sz w:val="24"/>
          <w:szCs w:val="24"/>
        </w:rPr>
      </w:pPr>
    </w:p>
    <w:p w:rsidR="00BE4C57" w:rsidRDefault="00BE4C57" w:rsidP="009D0DE2">
      <w:pPr>
        <w:tabs>
          <w:tab w:val="left" w:pos="6946"/>
        </w:tabs>
        <w:autoSpaceDE w:val="0"/>
        <w:autoSpaceDN w:val="0"/>
        <w:adjustRightInd w:val="0"/>
        <w:spacing w:after="0" w:line="360" w:lineRule="auto"/>
        <w:jc w:val="both"/>
        <w:rPr>
          <w:rFonts w:asciiTheme="majorBidi" w:hAnsiTheme="majorBidi" w:cstheme="majorBidi"/>
          <w:sz w:val="24"/>
          <w:szCs w:val="24"/>
        </w:rPr>
      </w:pPr>
    </w:p>
    <w:p w:rsidR="00BE4C57" w:rsidRPr="009D0DE2" w:rsidRDefault="00BE4C57" w:rsidP="009D0DE2">
      <w:pPr>
        <w:tabs>
          <w:tab w:val="left" w:pos="6946"/>
        </w:tabs>
        <w:autoSpaceDE w:val="0"/>
        <w:autoSpaceDN w:val="0"/>
        <w:adjustRightInd w:val="0"/>
        <w:spacing w:after="0" w:line="360" w:lineRule="auto"/>
        <w:jc w:val="both"/>
        <w:rPr>
          <w:rFonts w:asciiTheme="majorBidi" w:hAnsiTheme="majorBidi" w:cstheme="majorBidi"/>
          <w:sz w:val="24"/>
          <w:szCs w:val="24"/>
        </w:rPr>
      </w:pPr>
    </w:p>
    <w:p w:rsidR="009D0DE2" w:rsidRPr="00BE4843" w:rsidRDefault="009D0DE2" w:rsidP="00257EDD">
      <w:pPr>
        <w:pStyle w:val="Paragraphedeliste"/>
        <w:numPr>
          <w:ilvl w:val="0"/>
          <w:numId w:val="6"/>
        </w:numPr>
        <w:tabs>
          <w:tab w:val="left" w:pos="6946"/>
        </w:tabs>
        <w:spacing w:line="360" w:lineRule="auto"/>
        <w:jc w:val="both"/>
        <w:rPr>
          <w:rFonts w:asciiTheme="majorBidi" w:hAnsiTheme="majorBidi" w:cstheme="majorBidi"/>
          <w:sz w:val="24"/>
          <w:szCs w:val="24"/>
        </w:rPr>
      </w:pPr>
      <w:r w:rsidRPr="00257EDD">
        <w:rPr>
          <w:rFonts w:asciiTheme="majorBidi" w:hAnsiTheme="majorBidi" w:cstheme="majorBidi"/>
          <w:b/>
          <w:bCs/>
          <w:sz w:val="24"/>
          <w:szCs w:val="24"/>
        </w:rPr>
        <w:lastRenderedPageBreak/>
        <w:t>Tolérance</w:t>
      </w:r>
    </w:p>
    <w:p w:rsidR="009D0DE2" w:rsidRPr="009D0DE2" w:rsidRDefault="009D0DE2" w:rsidP="00BE4C57">
      <w:pPr>
        <w:tabs>
          <w:tab w:val="left" w:pos="6946"/>
        </w:tabs>
        <w:autoSpaceDE w:val="0"/>
        <w:autoSpaceDN w:val="0"/>
        <w:adjustRightInd w:val="0"/>
        <w:spacing w:after="0" w:line="360" w:lineRule="auto"/>
        <w:ind w:firstLine="567"/>
        <w:jc w:val="both"/>
        <w:rPr>
          <w:rFonts w:asciiTheme="majorBidi" w:hAnsiTheme="majorBidi" w:cstheme="majorBidi"/>
          <w:i/>
          <w:iCs/>
          <w:sz w:val="24"/>
          <w:szCs w:val="24"/>
        </w:rPr>
      </w:pPr>
      <w:r w:rsidRPr="00BE4843">
        <w:rPr>
          <w:rFonts w:asciiTheme="majorBidi" w:hAnsiTheme="majorBidi" w:cstheme="majorBidi"/>
          <w:sz w:val="24"/>
          <w:szCs w:val="24"/>
        </w:rPr>
        <w:t>La tolérance correspond à la diminution de l’effet pharmacologique d’une dose de médicament lors</w:t>
      </w:r>
      <w:r w:rsidR="001A3FAC" w:rsidRPr="00BE4843">
        <w:rPr>
          <w:rFonts w:asciiTheme="majorBidi" w:hAnsiTheme="majorBidi" w:cstheme="majorBidi"/>
          <w:sz w:val="24"/>
          <w:szCs w:val="24"/>
        </w:rPr>
        <w:t xml:space="preserve"> </w:t>
      </w:r>
      <w:r w:rsidRPr="00BE4843">
        <w:rPr>
          <w:rFonts w:asciiTheme="majorBidi" w:hAnsiTheme="majorBidi" w:cstheme="majorBidi"/>
          <w:sz w:val="24"/>
          <w:szCs w:val="24"/>
        </w:rPr>
        <w:t>de l’administration répétée de cette même dose.</w:t>
      </w:r>
      <w:r w:rsidRPr="009D0DE2">
        <w:rPr>
          <w:rFonts w:asciiTheme="majorBidi" w:hAnsiTheme="majorBidi" w:cstheme="majorBidi"/>
          <w:i/>
          <w:iCs/>
          <w:sz w:val="24"/>
          <w:szCs w:val="24"/>
        </w:rPr>
        <w:t xml:space="preserve"> </w:t>
      </w:r>
      <w:r w:rsidRPr="009D0DE2">
        <w:rPr>
          <w:rFonts w:asciiTheme="majorBidi" w:hAnsiTheme="majorBidi" w:cstheme="majorBidi"/>
          <w:sz w:val="24"/>
          <w:szCs w:val="24"/>
        </w:rPr>
        <w:t>Pour retrouver l’effet de la dose initiale, il est nécessaire d’augmenter la dose administrée. Lorsque la tolérance apparaît rapidement, dès les</w:t>
      </w:r>
      <w:r w:rsidRPr="009D0DE2">
        <w:rPr>
          <w:rFonts w:asciiTheme="majorBidi" w:hAnsiTheme="majorBidi" w:cstheme="majorBidi"/>
          <w:i/>
          <w:iCs/>
          <w:sz w:val="24"/>
          <w:szCs w:val="24"/>
        </w:rPr>
        <w:t xml:space="preserve"> </w:t>
      </w:r>
      <w:r w:rsidRPr="009D0DE2">
        <w:rPr>
          <w:rFonts w:asciiTheme="majorBidi" w:hAnsiTheme="majorBidi" w:cstheme="majorBidi"/>
          <w:sz w:val="24"/>
          <w:szCs w:val="24"/>
        </w:rPr>
        <w:t xml:space="preserve">premières doses, on parle de </w:t>
      </w:r>
      <w:r w:rsidRPr="009D0DE2">
        <w:rPr>
          <w:rFonts w:asciiTheme="majorBidi" w:hAnsiTheme="majorBidi" w:cstheme="majorBidi"/>
          <w:b/>
          <w:bCs/>
          <w:sz w:val="24"/>
          <w:szCs w:val="24"/>
        </w:rPr>
        <w:t>tachyphylaxie</w:t>
      </w:r>
      <w:r w:rsidRPr="009D0DE2">
        <w:rPr>
          <w:rFonts w:asciiTheme="majorBidi" w:hAnsiTheme="majorBidi" w:cstheme="majorBidi"/>
          <w:sz w:val="24"/>
          <w:szCs w:val="24"/>
        </w:rPr>
        <w:t>.</w:t>
      </w:r>
    </w:p>
    <w:p w:rsidR="009D0DE2" w:rsidRPr="009D0DE2" w:rsidRDefault="009D0DE2" w:rsidP="00BE4C57">
      <w:pPr>
        <w:tabs>
          <w:tab w:val="left" w:pos="6946"/>
        </w:tabs>
        <w:autoSpaceDE w:val="0"/>
        <w:autoSpaceDN w:val="0"/>
        <w:adjustRightInd w:val="0"/>
        <w:spacing w:after="0" w:line="360" w:lineRule="auto"/>
        <w:ind w:firstLine="567"/>
        <w:jc w:val="both"/>
        <w:rPr>
          <w:rFonts w:asciiTheme="majorBidi" w:hAnsiTheme="majorBidi" w:cstheme="majorBidi"/>
          <w:sz w:val="24"/>
          <w:szCs w:val="24"/>
        </w:rPr>
      </w:pPr>
      <w:r w:rsidRPr="009D0DE2">
        <w:rPr>
          <w:rFonts w:asciiTheme="majorBidi" w:hAnsiTheme="majorBidi" w:cstheme="majorBidi"/>
          <w:sz w:val="24"/>
          <w:szCs w:val="24"/>
        </w:rPr>
        <w:t xml:space="preserve">La tolérance produite par l’administration d’un médicament peut entraîner aussi une tolérance aux effets d’autres médicaments appartenant à la même classe pharmacologique : c’est la </w:t>
      </w:r>
      <w:r w:rsidRPr="009D0DE2">
        <w:rPr>
          <w:rFonts w:asciiTheme="majorBidi" w:hAnsiTheme="majorBidi" w:cstheme="majorBidi"/>
          <w:b/>
          <w:bCs/>
          <w:sz w:val="24"/>
          <w:szCs w:val="24"/>
        </w:rPr>
        <w:t>tolérance</w:t>
      </w:r>
      <w:r w:rsidRPr="009D0DE2">
        <w:rPr>
          <w:rFonts w:asciiTheme="majorBidi" w:hAnsiTheme="majorBidi" w:cstheme="majorBidi"/>
          <w:sz w:val="24"/>
          <w:szCs w:val="24"/>
        </w:rPr>
        <w:t xml:space="preserve"> </w:t>
      </w:r>
      <w:r w:rsidRPr="009D0DE2">
        <w:rPr>
          <w:rFonts w:asciiTheme="majorBidi" w:hAnsiTheme="majorBidi" w:cstheme="majorBidi"/>
          <w:b/>
          <w:bCs/>
          <w:sz w:val="24"/>
          <w:szCs w:val="24"/>
        </w:rPr>
        <w:t>croisée</w:t>
      </w:r>
      <w:r w:rsidRPr="009D0DE2">
        <w:rPr>
          <w:rFonts w:asciiTheme="majorBidi" w:hAnsiTheme="majorBidi" w:cstheme="majorBidi"/>
          <w:sz w:val="24"/>
          <w:szCs w:val="24"/>
        </w:rPr>
        <w:t>.</w:t>
      </w:r>
    </w:p>
    <w:p w:rsidR="005F355D" w:rsidRDefault="009D0DE2" w:rsidP="00BE4C57">
      <w:pPr>
        <w:tabs>
          <w:tab w:val="left" w:pos="6946"/>
        </w:tabs>
        <w:autoSpaceDE w:val="0"/>
        <w:autoSpaceDN w:val="0"/>
        <w:adjustRightInd w:val="0"/>
        <w:spacing w:after="0" w:line="360" w:lineRule="auto"/>
        <w:ind w:firstLine="567"/>
        <w:jc w:val="both"/>
        <w:rPr>
          <w:rFonts w:asciiTheme="majorBidi" w:hAnsiTheme="majorBidi" w:cstheme="majorBidi"/>
          <w:sz w:val="24"/>
          <w:szCs w:val="24"/>
        </w:rPr>
      </w:pPr>
      <w:r w:rsidRPr="009D0DE2">
        <w:rPr>
          <w:rFonts w:asciiTheme="majorBidi" w:hAnsiTheme="majorBidi" w:cstheme="majorBidi"/>
          <w:sz w:val="24"/>
          <w:szCs w:val="24"/>
        </w:rPr>
        <w:t>La tolérance à un médicament peut se développer pour tous ses effets pharmacologiques ou seulement pour une partie de ses effets (</w:t>
      </w:r>
      <w:r w:rsidRPr="009D0DE2">
        <w:rPr>
          <w:rFonts w:asciiTheme="majorBidi" w:hAnsiTheme="majorBidi" w:cstheme="majorBidi"/>
          <w:b/>
          <w:bCs/>
          <w:sz w:val="24"/>
          <w:szCs w:val="24"/>
        </w:rPr>
        <w:t>tolérance partielle</w:t>
      </w:r>
      <w:r w:rsidRPr="009D0DE2">
        <w:rPr>
          <w:rFonts w:asciiTheme="majorBidi" w:hAnsiTheme="majorBidi" w:cstheme="majorBidi"/>
          <w:sz w:val="24"/>
          <w:szCs w:val="24"/>
        </w:rPr>
        <w:t xml:space="preserve">). </w:t>
      </w:r>
    </w:p>
    <w:p w:rsidR="000D1669" w:rsidRPr="00356355" w:rsidRDefault="000D1669" w:rsidP="00356355">
      <w:pPr>
        <w:rPr>
          <w:rFonts w:asciiTheme="majorBidi" w:hAnsiTheme="majorBidi" w:cstheme="majorBidi"/>
          <w:sz w:val="24"/>
          <w:szCs w:val="24"/>
        </w:rPr>
      </w:pPr>
    </w:p>
    <w:sectPr w:rsidR="000D1669" w:rsidRPr="00356355" w:rsidSect="000A2AFD">
      <w:headerReference w:type="default" r:id="rId22"/>
      <w:footerReference w:type="default" r:id="rId23"/>
      <w:pgSz w:w="11906" w:h="16838"/>
      <w:pgMar w:top="1417" w:right="1417" w:bottom="1417" w:left="1417" w:header="708" w:footer="708" w:gutter="0"/>
      <w:pgNumType w:start="4"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A28" w:rsidRDefault="00A94A28" w:rsidP="004F192A">
      <w:pPr>
        <w:spacing w:after="0" w:line="240" w:lineRule="auto"/>
      </w:pPr>
      <w:r>
        <w:separator/>
      </w:r>
    </w:p>
  </w:endnote>
  <w:endnote w:type="continuationSeparator" w:id="0">
    <w:p w:rsidR="00A94A28" w:rsidRDefault="00A94A28" w:rsidP="004F1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F88" w:rsidRDefault="00CC3F88" w:rsidP="0040634F">
    <w:pPr>
      <w:pStyle w:val="Pieddepage"/>
      <w:pBdr>
        <w:top w:val="thinThickSmallGap" w:sz="24" w:space="0" w:color="622423" w:themeColor="accent2" w:themeShade="7F"/>
      </w:pBdr>
      <w:rPr>
        <w:rFonts w:asciiTheme="majorHAnsi" w:eastAsiaTheme="majorEastAsia" w:hAnsiTheme="majorHAnsi" w:cstheme="majorBidi"/>
      </w:rPr>
    </w:pPr>
    <w:r w:rsidRPr="00CC3F88">
      <w:rPr>
        <w:rFonts w:asciiTheme="majorBidi" w:eastAsiaTheme="majorEastAsia" w:hAnsiTheme="majorBidi" w:cstheme="majorBidi"/>
        <w:i/>
        <w:iCs/>
      </w:rPr>
      <w:t xml:space="preserve">Enseignante </w:t>
    </w:r>
    <w:r w:rsidR="0096321A">
      <w:rPr>
        <w:rFonts w:asciiTheme="majorBidi" w:eastAsiaTheme="majorEastAsia" w:hAnsiTheme="majorBidi" w:cstheme="majorBidi"/>
        <w:i/>
        <w:iCs/>
      </w:rPr>
      <w:t xml:space="preserve">Dr </w:t>
    </w:r>
    <w:r w:rsidRPr="00CC3F88">
      <w:rPr>
        <w:rFonts w:asciiTheme="majorBidi" w:eastAsiaTheme="majorEastAsia" w:hAnsiTheme="majorBidi" w:cstheme="majorBidi"/>
        <w:i/>
        <w:iCs/>
      </w:rPr>
      <w:t xml:space="preserve">A. </w:t>
    </w:r>
    <w:proofErr w:type="spellStart"/>
    <w:r w:rsidRPr="00CC3F88">
      <w:rPr>
        <w:rFonts w:asciiTheme="majorBidi" w:eastAsiaTheme="majorEastAsia" w:hAnsiTheme="majorBidi" w:cstheme="majorBidi"/>
        <w:i/>
        <w:iCs/>
      </w:rPr>
      <w:t>Merzoug</w:t>
    </w:r>
    <w:proofErr w:type="spellEnd"/>
    <w:r w:rsidRPr="00CC3F88">
      <w:rPr>
        <w:rFonts w:asciiTheme="majorHAnsi" w:eastAsiaTheme="majorEastAsia" w:hAnsiTheme="majorHAnsi" w:cstheme="majorBidi"/>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PAGE   \* MERGEFORMAT</w:instrText>
    </w:r>
    <w:r>
      <w:rPr>
        <w:rFonts w:eastAsiaTheme="minorEastAsia"/>
      </w:rPr>
      <w:fldChar w:fldCharType="separate"/>
    </w:r>
    <w:r w:rsidR="00566A6D" w:rsidRPr="00566A6D">
      <w:rPr>
        <w:rFonts w:asciiTheme="majorHAnsi" w:eastAsiaTheme="majorEastAsia" w:hAnsiTheme="majorHAnsi" w:cstheme="majorBidi"/>
        <w:noProof/>
      </w:rPr>
      <w:t>14</w:t>
    </w:r>
    <w:r>
      <w:rPr>
        <w:rFonts w:asciiTheme="majorHAnsi" w:eastAsiaTheme="majorEastAsia" w:hAnsiTheme="majorHAnsi" w:cstheme="majorBidi"/>
      </w:rPr>
      <w:fldChar w:fldCharType="end"/>
    </w:r>
  </w:p>
  <w:p w:rsidR="004F192A" w:rsidRDefault="004F192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A28" w:rsidRDefault="00A94A28" w:rsidP="004F192A">
      <w:pPr>
        <w:spacing w:after="0" w:line="240" w:lineRule="auto"/>
      </w:pPr>
      <w:r>
        <w:separator/>
      </w:r>
    </w:p>
  </w:footnote>
  <w:footnote w:type="continuationSeparator" w:id="0">
    <w:p w:rsidR="00A94A28" w:rsidRDefault="00A94A28" w:rsidP="004F19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Calibri" w:hAnsi="Times New Roman" w:cs="Times New Roman"/>
        <w:i/>
        <w:iCs/>
      </w:rPr>
      <w:alias w:val="Titre"/>
      <w:id w:val="77738743"/>
      <w:placeholder>
        <w:docPart w:val="CA922F001D3541A6A8B486943D33FAD5"/>
      </w:placeholder>
      <w:dataBinding w:prefixMappings="xmlns:ns0='http://schemas.openxmlformats.org/package/2006/metadata/core-properties' xmlns:ns1='http://purl.org/dc/elements/1.1/'" w:xpath="/ns0:coreProperties[1]/ns1:title[1]" w:storeItemID="{6C3C8BC8-F283-45AE-878A-BAB7291924A1}"/>
      <w:text/>
    </w:sdtPr>
    <w:sdtEndPr/>
    <w:sdtContent>
      <w:p w:rsidR="0040634F" w:rsidRPr="0040634F" w:rsidRDefault="00CC3F88" w:rsidP="001471A7">
        <w:pPr>
          <w:pStyle w:val="En-tte"/>
          <w:pBdr>
            <w:bottom w:val="thickThinSmallGap" w:sz="24" w:space="1" w:color="622423" w:themeColor="accent2" w:themeShade="7F"/>
          </w:pBdr>
          <w:spacing w:line="360" w:lineRule="auto"/>
          <w:rPr>
            <w:rFonts w:ascii="Times New Roman" w:eastAsia="Calibri" w:hAnsi="Times New Roman" w:cs="Times New Roman"/>
            <w:i/>
            <w:iCs/>
          </w:rPr>
        </w:pPr>
        <w:r w:rsidRPr="00CC3F88">
          <w:rPr>
            <w:rFonts w:ascii="Times New Roman" w:eastAsia="Calibri" w:hAnsi="Times New Roman" w:cs="Times New Roman"/>
            <w:i/>
            <w:iCs/>
          </w:rPr>
          <w:t xml:space="preserve">Centre </w:t>
        </w:r>
        <w:r w:rsidR="001471A7" w:rsidRPr="00CC3F88">
          <w:rPr>
            <w:rFonts w:ascii="Times New Roman" w:eastAsia="Calibri" w:hAnsi="Times New Roman" w:cs="Times New Roman"/>
            <w:i/>
            <w:iCs/>
          </w:rPr>
          <w:t xml:space="preserve">Universitaire </w:t>
        </w:r>
        <w:proofErr w:type="spellStart"/>
        <w:r w:rsidR="001471A7" w:rsidRPr="00CC3F88">
          <w:rPr>
            <w:rFonts w:ascii="Times New Roman" w:eastAsia="Calibri" w:hAnsi="Times New Roman" w:cs="Times New Roman"/>
            <w:i/>
            <w:iCs/>
          </w:rPr>
          <w:t>Abdelhafid</w:t>
        </w:r>
        <w:proofErr w:type="spellEnd"/>
        <w:r w:rsidR="001471A7" w:rsidRPr="00CC3F88">
          <w:rPr>
            <w:rFonts w:ascii="Times New Roman" w:eastAsia="Calibri" w:hAnsi="Times New Roman" w:cs="Times New Roman"/>
            <w:i/>
            <w:iCs/>
          </w:rPr>
          <w:t xml:space="preserve"> </w:t>
        </w:r>
        <w:proofErr w:type="spellStart"/>
        <w:r w:rsidR="001471A7" w:rsidRPr="00CC3F88">
          <w:rPr>
            <w:rFonts w:ascii="Times New Roman" w:eastAsia="Calibri" w:hAnsi="Times New Roman" w:cs="Times New Roman"/>
            <w:i/>
            <w:iCs/>
          </w:rPr>
          <w:t>Boussouf</w:t>
        </w:r>
        <w:proofErr w:type="spellEnd"/>
        <w:r w:rsidRPr="00CC3F88">
          <w:rPr>
            <w:rFonts w:ascii="Times New Roman" w:eastAsia="Calibri" w:hAnsi="Times New Roman" w:cs="Times New Roman"/>
            <w:i/>
            <w:iCs/>
          </w:rPr>
          <w:t xml:space="preserve">. Mila                  </w:t>
        </w:r>
        <w:r>
          <w:rPr>
            <w:rFonts w:ascii="Times New Roman" w:eastAsia="Calibri" w:hAnsi="Times New Roman" w:cs="Times New Roman"/>
            <w:i/>
            <w:iCs/>
          </w:rPr>
          <w:t xml:space="preserve">                      </w:t>
        </w:r>
        <w:r w:rsidRPr="00CC3F88">
          <w:rPr>
            <w:rFonts w:ascii="Times New Roman" w:eastAsia="Calibri" w:hAnsi="Times New Roman" w:cs="Times New Roman"/>
            <w:i/>
            <w:iCs/>
          </w:rPr>
          <w:t xml:space="preserve"> </w:t>
        </w:r>
        <w:r>
          <w:rPr>
            <w:rFonts w:ascii="Times New Roman" w:eastAsia="Calibri" w:hAnsi="Times New Roman" w:cs="Times New Roman"/>
            <w:i/>
            <w:iCs/>
          </w:rPr>
          <w:t xml:space="preserve">       </w:t>
        </w:r>
        <w:r w:rsidRPr="00CC3F88">
          <w:rPr>
            <w:rFonts w:ascii="Times New Roman" w:eastAsia="Calibri" w:hAnsi="Times New Roman" w:cs="Times New Roman"/>
            <w:i/>
            <w:iCs/>
          </w:rPr>
          <w:t xml:space="preserve">          </w:t>
        </w:r>
        <w:r w:rsidR="001471A7">
          <w:rPr>
            <w:rFonts w:ascii="Times New Roman" w:eastAsia="Calibri" w:hAnsi="Times New Roman" w:cs="Times New Roman"/>
            <w:i/>
            <w:iCs/>
          </w:rPr>
          <w:t xml:space="preserve">                            </w:t>
        </w:r>
        <w:r w:rsidRPr="00CC3F88">
          <w:rPr>
            <w:rFonts w:ascii="Times New Roman" w:eastAsia="Calibri" w:hAnsi="Times New Roman" w:cs="Times New Roman"/>
            <w:i/>
            <w:iCs/>
          </w:rPr>
          <w:t xml:space="preserve">Cours de </w:t>
        </w:r>
        <w:proofErr w:type="spellStart"/>
        <w:r w:rsidRPr="00CC3F88">
          <w:rPr>
            <w:rFonts w:ascii="Times New Roman" w:eastAsia="Calibri" w:hAnsi="Times New Roman" w:cs="Times New Roman"/>
            <w:i/>
            <w:iCs/>
          </w:rPr>
          <w:t>Pharmaco-toxicologie</w:t>
        </w:r>
        <w:proofErr w:type="spellEnd"/>
        <w:r w:rsidRPr="00CC3F88">
          <w:rPr>
            <w:rFonts w:ascii="Times New Roman" w:eastAsia="Calibri" w:hAnsi="Times New Roman" w:cs="Times New Roman"/>
            <w:i/>
            <w:iCs/>
          </w:rPr>
          <w:t xml:space="preserve">                                                   </w:t>
        </w:r>
        <w:r>
          <w:rPr>
            <w:rFonts w:ascii="Times New Roman" w:eastAsia="Calibri" w:hAnsi="Times New Roman" w:cs="Times New Roman"/>
            <w:i/>
            <w:iCs/>
          </w:rPr>
          <w:t xml:space="preserve">                    </w:t>
        </w:r>
        <w:r w:rsidRPr="00CC3F88">
          <w:rPr>
            <w:rFonts w:ascii="Times New Roman" w:eastAsia="Calibri" w:hAnsi="Times New Roman" w:cs="Times New Roman"/>
            <w:i/>
            <w:iCs/>
          </w:rPr>
          <w:t xml:space="preserve">   3ème Année Biochimie</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B71D5"/>
    <w:multiLevelType w:val="hybridMultilevel"/>
    <w:tmpl w:val="98C2C26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113410"/>
    <w:multiLevelType w:val="hybridMultilevel"/>
    <w:tmpl w:val="74A452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07976C4"/>
    <w:multiLevelType w:val="hybridMultilevel"/>
    <w:tmpl w:val="C56E9D5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nsid w:val="26E31873"/>
    <w:multiLevelType w:val="hybridMultilevel"/>
    <w:tmpl w:val="8906127C"/>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35A405B3"/>
    <w:multiLevelType w:val="hybridMultilevel"/>
    <w:tmpl w:val="B0AC246E"/>
    <w:lvl w:ilvl="0" w:tplc="A7921896">
      <w:start w:val="1"/>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DE640FC"/>
    <w:multiLevelType w:val="hybridMultilevel"/>
    <w:tmpl w:val="B1AC9F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4FF6F41"/>
    <w:multiLevelType w:val="hybridMultilevel"/>
    <w:tmpl w:val="8B6C30B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5EB5ABC"/>
    <w:multiLevelType w:val="hybridMultilevel"/>
    <w:tmpl w:val="857680A6"/>
    <w:lvl w:ilvl="0" w:tplc="585EA9C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E5E08E1"/>
    <w:multiLevelType w:val="hybridMultilevel"/>
    <w:tmpl w:val="76AE89C4"/>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0904C95"/>
    <w:multiLevelType w:val="hybridMultilevel"/>
    <w:tmpl w:val="6AFE17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3DF15DA"/>
    <w:multiLevelType w:val="multilevel"/>
    <w:tmpl w:val="1966E298"/>
    <w:lvl w:ilvl="0">
      <w:start w:val="1"/>
      <w:numFmt w:val="decimal"/>
      <w:lvlText w:val="%1."/>
      <w:lvlJc w:val="left"/>
      <w:pPr>
        <w:ind w:left="720" w:hanging="360"/>
      </w:pPr>
      <w:rPr>
        <w:b/>
        <w:bCs/>
      </w:rPr>
    </w:lvl>
    <w:lvl w:ilvl="1">
      <w:start w:val="2"/>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6E20E97"/>
    <w:multiLevelType w:val="hybridMultilevel"/>
    <w:tmpl w:val="9A64993E"/>
    <w:lvl w:ilvl="0" w:tplc="A7921896">
      <w:start w:val="1"/>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11"/>
  </w:num>
  <w:num w:numId="5">
    <w:abstractNumId w:val="0"/>
  </w:num>
  <w:num w:numId="6">
    <w:abstractNumId w:val="10"/>
  </w:num>
  <w:num w:numId="7">
    <w:abstractNumId w:val="8"/>
  </w:num>
  <w:num w:numId="8">
    <w:abstractNumId w:val="2"/>
  </w:num>
  <w:num w:numId="9">
    <w:abstractNumId w:val="7"/>
  </w:num>
  <w:num w:numId="10">
    <w:abstractNumId w:val="5"/>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167"/>
    <w:rsid w:val="0002185B"/>
    <w:rsid w:val="000828A2"/>
    <w:rsid w:val="0008626B"/>
    <w:rsid w:val="000959D6"/>
    <w:rsid w:val="000A2AFD"/>
    <w:rsid w:val="000A3566"/>
    <w:rsid w:val="000C2E71"/>
    <w:rsid w:val="000D1669"/>
    <w:rsid w:val="000E76EC"/>
    <w:rsid w:val="0010416D"/>
    <w:rsid w:val="00115733"/>
    <w:rsid w:val="00122BC0"/>
    <w:rsid w:val="00123DBB"/>
    <w:rsid w:val="0013029F"/>
    <w:rsid w:val="00135100"/>
    <w:rsid w:val="00142164"/>
    <w:rsid w:val="001471A7"/>
    <w:rsid w:val="00175F38"/>
    <w:rsid w:val="001823DE"/>
    <w:rsid w:val="001A3FAC"/>
    <w:rsid w:val="001B7DAA"/>
    <w:rsid w:val="001C5B74"/>
    <w:rsid w:val="001E52D1"/>
    <w:rsid w:val="001F074B"/>
    <w:rsid w:val="001F7E70"/>
    <w:rsid w:val="00257EDD"/>
    <w:rsid w:val="00284B6D"/>
    <w:rsid w:val="002A67BB"/>
    <w:rsid w:val="002E4212"/>
    <w:rsid w:val="0031485E"/>
    <w:rsid w:val="00316E00"/>
    <w:rsid w:val="0032143A"/>
    <w:rsid w:val="00326560"/>
    <w:rsid w:val="0033262E"/>
    <w:rsid w:val="00341202"/>
    <w:rsid w:val="00356355"/>
    <w:rsid w:val="00357E86"/>
    <w:rsid w:val="0036601C"/>
    <w:rsid w:val="00374BFB"/>
    <w:rsid w:val="00377B22"/>
    <w:rsid w:val="00396084"/>
    <w:rsid w:val="003B3E4B"/>
    <w:rsid w:val="003B6A52"/>
    <w:rsid w:val="003C6E0D"/>
    <w:rsid w:val="003F7375"/>
    <w:rsid w:val="0040634F"/>
    <w:rsid w:val="0041574A"/>
    <w:rsid w:val="00421E77"/>
    <w:rsid w:val="00435FE6"/>
    <w:rsid w:val="00473BED"/>
    <w:rsid w:val="004768CA"/>
    <w:rsid w:val="00492A35"/>
    <w:rsid w:val="00493FA7"/>
    <w:rsid w:val="0049644D"/>
    <w:rsid w:val="004D215D"/>
    <w:rsid w:val="004F192A"/>
    <w:rsid w:val="00503641"/>
    <w:rsid w:val="00517AF5"/>
    <w:rsid w:val="005364FE"/>
    <w:rsid w:val="00537ED5"/>
    <w:rsid w:val="00562060"/>
    <w:rsid w:val="00566A6D"/>
    <w:rsid w:val="00582048"/>
    <w:rsid w:val="00582319"/>
    <w:rsid w:val="00583BFB"/>
    <w:rsid w:val="005845B3"/>
    <w:rsid w:val="00586F2F"/>
    <w:rsid w:val="005A15BA"/>
    <w:rsid w:val="005B324E"/>
    <w:rsid w:val="005F355D"/>
    <w:rsid w:val="005F53C4"/>
    <w:rsid w:val="006036E1"/>
    <w:rsid w:val="006616BD"/>
    <w:rsid w:val="006923AD"/>
    <w:rsid w:val="006B0C4B"/>
    <w:rsid w:val="006C03D1"/>
    <w:rsid w:val="006D3794"/>
    <w:rsid w:val="006E7B1D"/>
    <w:rsid w:val="00703072"/>
    <w:rsid w:val="00710151"/>
    <w:rsid w:val="00731ACC"/>
    <w:rsid w:val="0075426B"/>
    <w:rsid w:val="007642DF"/>
    <w:rsid w:val="00772EDB"/>
    <w:rsid w:val="007840E1"/>
    <w:rsid w:val="00790662"/>
    <w:rsid w:val="007A0644"/>
    <w:rsid w:val="007D2C98"/>
    <w:rsid w:val="008005CC"/>
    <w:rsid w:val="00800932"/>
    <w:rsid w:val="00815F87"/>
    <w:rsid w:val="008312AA"/>
    <w:rsid w:val="008A6B0A"/>
    <w:rsid w:val="008B1271"/>
    <w:rsid w:val="008B3C8E"/>
    <w:rsid w:val="008C7359"/>
    <w:rsid w:val="008D1947"/>
    <w:rsid w:val="008E376F"/>
    <w:rsid w:val="008E7508"/>
    <w:rsid w:val="008F40ED"/>
    <w:rsid w:val="00910F45"/>
    <w:rsid w:val="00945043"/>
    <w:rsid w:val="009517C4"/>
    <w:rsid w:val="00957A59"/>
    <w:rsid w:val="00961B36"/>
    <w:rsid w:val="0096321A"/>
    <w:rsid w:val="00970388"/>
    <w:rsid w:val="009B4341"/>
    <w:rsid w:val="009D0DE2"/>
    <w:rsid w:val="009E5BA4"/>
    <w:rsid w:val="009E5BCF"/>
    <w:rsid w:val="009F477E"/>
    <w:rsid w:val="00A01FCD"/>
    <w:rsid w:val="00A3230D"/>
    <w:rsid w:val="00A45A35"/>
    <w:rsid w:val="00A5159D"/>
    <w:rsid w:val="00A65C2D"/>
    <w:rsid w:val="00A75E56"/>
    <w:rsid w:val="00A94A28"/>
    <w:rsid w:val="00A951C9"/>
    <w:rsid w:val="00AA5269"/>
    <w:rsid w:val="00AA6B8F"/>
    <w:rsid w:val="00AC01F9"/>
    <w:rsid w:val="00AE3A67"/>
    <w:rsid w:val="00AE4BB2"/>
    <w:rsid w:val="00B662C1"/>
    <w:rsid w:val="00B70A61"/>
    <w:rsid w:val="00B70F82"/>
    <w:rsid w:val="00B72913"/>
    <w:rsid w:val="00B73873"/>
    <w:rsid w:val="00B82E98"/>
    <w:rsid w:val="00BE1E62"/>
    <w:rsid w:val="00BE4843"/>
    <w:rsid w:val="00BE4C57"/>
    <w:rsid w:val="00C00704"/>
    <w:rsid w:val="00C07808"/>
    <w:rsid w:val="00C33747"/>
    <w:rsid w:val="00C41F5F"/>
    <w:rsid w:val="00C50ECC"/>
    <w:rsid w:val="00C772C7"/>
    <w:rsid w:val="00C93A46"/>
    <w:rsid w:val="00CA79F0"/>
    <w:rsid w:val="00CB0E90"/>
    <w:rsid w:val="00CC3F88"/>
    <w:rsid w:val="00CD0BDA"/>
    <w:rsid w:val="00CD5C07"/>
    <w:rsid w:val="00CE0200"/>
    <w:rsid w:val="00CE2B2D"/>
    <w:rsid w:val="00CF72DB"/>
    <w:rsid w:val="00D04F91"/>
    <w:rsid w:val="00D1001B"/>
    <w:rsid w:val="00D200BC"/>
    <w:rsid w:val="00D37EC3"/>
    <w:rsid w:val="00D4029C"/>
    <w:rsid w:val="00D4076B"/>
    <w:rsid w:val="00DA7F49"/>
    <w:rsid w:val="00DB1BB9"/>
    <w:rsid w:val="00DB1C53"/>
    <w:rsid w:val="00DE0D1F"/>
    <w:rsid w:val="00E24701"/>
    <w:rsid w:val="00E27497"/>
    <w:rsid w:val="00E5234D"/>
    <w:rsid w:val="00E62372"/>
    <w:rsid w:val="00E8314E"/>
    <w:rsid w:val="00E946F2"/>
    <w:rsid w:val="00E95167"/>
    <w:rsid w:val="00E97E56"/>
    <w:rsid w:val="00EA2895"/>
    <w:rsid w:val="00EA4F58"/>
    <w:rsid w:val="00EA6218"/>
    <w:rsid w:val="00EA77A0"/>
    <w:rsid w:val="00EE433A"/>
    <w:rsid w:val="00F03860"/>
    <w:rsid w:val="00F23E8F"/>
    <w:rsid w:val="00F45F4E"/>
    <w:rsid w:val="00F552A1"/>
    <w:rsid w:val="00F65692"/>
    <w:rsid w:val="00F91E07"/>
    <w:rsid w:val="00F96D67"/>
    <w:rsid w:val="00FA1E06"/>
    <w:rsid w:val="00FA6C2B"/>
    <w:rsid w:val="00FB3120"/>
    <w:rsid w:val="00FE316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16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364FE"/>
    <w:pPr>
      <w:ind w:left="720"/>
      <w:contextualSpacing/>
    </w:pPr>
  </w:style>
  <w:style w:type="paragraph" w:styleId="Textedebulles">
    <w:name w:val="Balloon Text"/>
    <w:basedOn w:val="Normal"/>
    <w:link w:val="TextedebullesCar"/>
    <w:uiPriority w:val="99"/>
    <w:semiHidden/>
    <w:unhideWhenUsed/>
    <w:rsid w:val="000D16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1669"/>
    <w:rPr>
      <w:rFonts w:ascii="Tahoma" w:hAnsi="Tahoma" w:cs="Tahoma"/>
      <w:sz w:val="16"/>
      <w:szCs w:val="16"/>
    </w:rPr>
  </w:style>
  <w:style w:type="paragraph" w:styleId="NormalWeb">
    <w:name w:val="Normal (Web)"/>
    <w:basedOn w:val="Normal"/>
    <w:rsid w:val="00C50ECC"/>
    <w:pPr>
      <w:spacing w:before="100" w:beforeAutospacing="1" w:after="100" w:afterAutospacing="1" w:line="240" w:lineRule="auto"/>
      <w:jc w:val="both"/>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4F192A"/>
    <w:pPr>
      <w:tabs>
        <w:tab w:val="center" w:pos="4536"/>
        <w:tab w:val="right" w:pos="9072"/>
      </w:tabs>
      <w:spacing w:after="0" w:line="240" w:lineRule="auto"/>
    </w:pPr>
  </w:style>
  <w:style w:type="character" w:customStyle="1" w:styleId="En-tteCar">
    <w:name w:val="En-tête Car"/>
    <w:basedOn w:val="Policepardfaut"/>
    <w:link w:val="En-tte"/>
    <w:uiPriority w:val="99"/>
    <w:rsid w:val="004F192A"/>
  </w:style>
  <w:style w:type="paragraph" w:styleId="Pieddepage">
    <w:name w:val="footer"/>
    <w:basedOn w:val="Normal"/>
    <w:link w:val="PieddepageCar"/>
    <w:uiPriority w:val="99"/>
    <w:unhideWhenUsed/>
    <w:rsid w:val="004F19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19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16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364FE"/>
    <w:pPr>
      <w:ind w:left="720"/>
      <w:contextualSpacing/>
    </w:pPr>
  </w:style>
  <w:style w:type="paragraph" w:styleId="Textedebulles">
    <w:name w:val="Balloon Text"/>
    <w:basedOn w:val="Normal"/>
    <w:link w:val="TextedebullesCar"/>
    <w:uiPriority w:val="99"/>
    <w:semiHidden/>
    <w:unhideWhenUsed/>
    <w:rsid w:val="000D16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1669"/>
    <w:rPr>
      <w:rFonts w:ascii="Tahoma" w:hAnsi="Tahoma" w:cs="Tahoma"/>
      <w:sz w:val="16"/>
      <w:szCs w:val="16"/>
    </w:rPr>
  </w:style>
  <w:style w:type="paragraph" w:styleId="NormalWeb">
    <w:name w:val="Normal (Web)"/>
    <w:basedOn w:val="Normal"/>
    <w:rsid w:val="00C50ECC"/>
    <w:pPr>
      <w:spacing w:before="100" w:beforeAutospacing="1" w:after="100" w:afterAutospacing="1" w:line="240" w:lineRule="auto"/>
      <w:jc w:val="both"/>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4F192A"/>
    <w:pPr>
      <w:tabs>
        <w:tab w:val="center" w:pos="4536"/>
        <w:tab w:val="right" w:pos="9072"/>
      </w:tabs>
      <w:spacing w:after="0" w:line="240" w:lineRule="auto"/>
    </w:pPr>
  </w:style>
  <w:style w:type="character" w:customStyle="1" w:styleId="En-tteCar">
    <w:name w:val="En-tête Car"/>
    <w:basedOn w:val="Policepardfaut"/>
    <w:link w:val="En-tte"/>
    <w:uiPriority w:val="99"/>
    <w:rsid w:val="004F192A"/>
  </w:style>
  <w:style w:type="paragraph" w:styleId="Pieddepage">
    <w:name w:val="footer"/>
    <w:basedOn w:val="Normal"/>
    <w:link w:val="PieddepageCar"/>
    <w:uiPriority w:val="99"/>
    <w:unhideWhenUsed/>
    <w:rsid w:val="004F19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1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A922F001D3541A6A8B486943D33FAD5"/>
        <w:category>
          <w:name w:val="Général"/>
          <w:gallery w:val="placeholder"/>
        </w:category>
        <w:types>
          <w:type w:val="bbPlcHdr"/>
        </w:types>
        <w:behaviors>
          <w:behavior w:val="content"/>
        </w:behaviors>
        <w:guid w:val="{21BA382E-5E86-486A-968D-93AC48A18478}"/>
      </w:docPartPr>
      <w:docPartBody>
        <w:p w:rsidR="00177099" w:rsidRDefault="00883B4F" w:rsidP="00883B4F">
          <w:pPr>
            <w:pStyle w:val="CA922F001D3541A6A8B486943D33FAD5"/>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B4F"/>
    <w:rsid w:val="00177099"/>
    <w:rsid w:val="001B0392"/>
    <w:rsid w:val="0025508A"/>
    <w:rsid w:val="003B1CD4"/>
    <w:rsid w:val="00447AB4"/>
    <w:rsid w:val="00467DFE"/>
    <w:rsid w:val="00583971"/>
    <w:rsid w:val="00586DD2"/>
    <w:rsid w:val="006C3509"/>
    <w:rsid w:val="00883B4F"/>
    <w:rsid w:val="00A15865"/>
    <w:rsid w:val="00E86E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B259EB3EB094F0BBA269BA4DF4575B7">
    <w:name w:val="7B259EB3EB094F0BBA269BA4DF4575B7"/>
    <w:rsid w:val="00883B4F"/>
  </w:style>
  <w:style w:type="paragraph" w:customStyle="1" w:styleId="CA922F001D3541A6A8B486943D33FAD5">
    <w:name w:val="CA922F001D3541A6A8B486943D33FAD5"/>
    <w:rsid w:val="00883B4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B259EB3EB094F0BBA269BA4DF4575B7">
    <w:name w:val="7B259EB3EB094F0BBA269BA4DF4575B7"/>
    <w:rsid w:val="00883B4F"/>
  </w:style>
  <w:style w:type="paragraph" w:customStyle="1" w:styleId="CA922F001D3541A6A8B486943D33FAD5">
    <w:name w:val="CA922F001D3541A6A8B486943D33FAD5"/>
    <w:rsid w:val="00883B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1327</TotalTime>
  <Pages>13</Pages>
  <Words>2286</Words>
  <Characters>12577</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Centre Universitaire Abdelhafid Boussouf. Mila                                                                                      Cours de Pharmaco-toxicologie                                                                          3ème Année Biochimie</vt:lpstr>
    </vt:vector>
  </TitlesOfParts>
  <Company>Toshiba</Company>
  <LinksUpToDate>false</LinksUpToDate>
  <CharactersWithSpaces>14834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Universitaire Abdelhafid Boussouf. Mila                                                                                      Cours de Pharmaco-toxicologie                                                                          3ème Année Biochimie</dc:title>
  <dc:creator>AMINAPC</dc:creator>
  <cp:lastModifiedBy>AMINAPC</cp:lastModifiedBy>
  <cp:revision>164</cp:revision>
  <dcterms:created xsi:type="dcterms:W3CDTF">2015-09-28T14:00:00Z</dcterms:created>
  <dcterms:modified xsi:type="dcterms:W3CDTF">2020-12-30T17:44:00Z</dcterms:modified>
</cp:coreProperties>
</file>