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2C2" w:rsidRPr="00C35549" w:rsidRDefault="008B32C2" w:rsidP="00C35549">
      <w:pPr>
        <w:widowControl w:val="0"/>
        <w:autoSpaceDE w:val="0"/>
        <w:autoSpaceDN w:val="0"/>
        <w:adjustRightInd w:val="0"/>
        <w:spacing w:after="0" w:line="360" w:lineRule="auto"/>
        <w:jc w:val="center"/>
        <w:rPr>
          <w:rFonts w:asciiTheme="majorBidi" w:hAnsiTheme="majorBidi" w:cstheme="majorBidi"/>
          <w:b/>
          <w:bCs/>
          <w:sz w:val="24"/>
          <w:szCs w:val="24"/>
        </w:rPr>
      </w:pPr>
      <w:bookmarkStart w:id="0" w:name="_GoBack"/>
      <w:r w:rsidRPr="00C35549">
        <w:rPr>
          <w:rFonts w:asciiTheme="majorBidi" w:hAnsiTheme="majorBidi" w:cstheme="majorBidi"/>
          <w:b/>
          <w:bCs/>
          <w:sz w:val="24"/>
          <w:szCs w:val="24"/>
        </w:rPr>
        <w:t xml:space="preserve">CHAPITRE </w:t>
      </w:r>
      <w:r w:rsidR="004A3446">
        <w:rPr>
          <w:rFonts w:asciiTheme="majorBidi" w:hAnsiTheme="majorBidi" w:cstheme="majorBidi"/>
          <w:b/>
          <w:bCs/>
          <w:sz w:val="24"/>
          <w:szCs w:val="24"/>
        </w:rPr>
        <w:t>7</w:t>
      </w:r>
      <w:r w:rsidR="00027EB3" w:rsidRPr="00C35549">
        <w:rPr>
          <w:rFonts w:asciiTheme="majorBidi" w:hAnsiTheme="majorBidi" w:cstheme="majorBidi"/>
          <w:b/>
          <w:bCs/>
          <w:sz w:val="24"/>
          <w:szCs w:val="24"/>
        </w:rPr>
        <w:t> :</w:t>
      </w:r>
      <w:r w:rsidRPr="00C35549">
        <w:rPr>
          <w:rFonts w:asciiTheme="majorBidi" w:hAnsiTheme="majorBidi" w:cstheme="majorBidi"/>
          <w:b/>
          <w:bCs/>
          <w:sz w:val="24"/>
          <w:szCs w:val="24"/>
        </w:rPr>
        <w:t xml:space="preserve"> LA GENOMIQUE COMPARATIVE</w:t>
      </w:r>
    </w:p>
    <w:bookmarkEnd w:id="0"/>
    <w:p w:rsidR="008B32C2" w:rsidRPr="00C35549" w:rsidRDefault="008B32C2" w:rsidP="00C35549">
      <w:pPr>
        <w:widowControl w:val="0"/>
        <w:autoSpaceDE w:val="0"/>
        <w:autoSpaceDN w:val="0"/>
        <w:adjustRightInd w:val="0"/>
        <w:spacing w:after="0" w:line="360" w:lineRule="auto"/>
        <w:jc w:val="center"/>
        <w:rPr>
          <w:rFonts w:asciiTheme="majorBidi" w:hAnsiTheme="majorBidi" w:cstheme="majorBidi"/>
          <w:b/>
          <w:bCs/>
          <w:sz w:val="24"/>
          <w:szCs w:val="24"/>
        </w:rPr>
      </w:pPr>
    </w:p>
    <w:p w:rsidR="008B32C2" w:rsidRPr="00C35549" w:rsidRDefault="00C35549" w:rsidP="00C35549">
      <w:pPr>
        <w:pStyle w:val="Paragraphedeliste"/>
        <w:widowControl w:val="0"/>
        <w:numPr>
          <w:ilvl w:val="0"/>
          <w:numId w:val="3"/>
        </w:numPr>
        <w:autoSpaceDE w:val="0"/>
        <w:autoSpaceDN w:val="0"/>
        <w:adjustRightInd w:val="0"/>
        <w:spacing w:after="0" w:line="360" w:lineRule="auto"/>
        <w:jc w:val="both"/>
        <w:rPr>
          <w:rFonts w:asciiTheme="majorBidi" w:hAnsiTheme="majorBidi" w:cstheme="majorBidi"/>
          <w:b/>
          <w:bCs/>
          <w:sz w:val="24"/>
          <w:szCs w:val="24"/>
        </w:rPr>
      </w:pPr>
      <w:r w:rsidRPr="00C35549">
        <w:rPr>
          <w:rFonts w:asciiTheme="majorBidi" w:hAnsiTheme="majorBidi" w:cstheme="majorBidi"/>
          <w:b/>
          <w:bCs/>
          <w:sz w:val="24"/>
          <w:szCs w:val="24"/>
        </w:rPr>
        <w:t>Définition</w:t>
      </w:r>
    </w:p>
    <w:p w:rsidR="008B32C2" w:rsidRPr="00C35549" w:rsidRDefault="00027EB3" w:rsidP="004A3446">
      <w:pPr>
        <w:widowControl w:val="0"/>
        <w:autoSpaceDE w:val="0"/>
        <w:autoSpaceDN w:val="0"/>
        <w:adjustRightInd w:val="0"/>
        <w:spacing w:line="360" w:lineRule="auto"/>
        <w:jc w:val="both"/>
        <w:rPr>
          <w:rFonts w:asciiTheme="majorBidi" w:hAnsiTheme="majorBidi" w:cstheme="majorBidi"/>
          <w:sz w:val="24"/>
          <w:szCs w:val="24"/>
        </w:rPr>
      </w:pPr>
      <w:r w:rsidRPr="00C35549">
        <w:rPr>
          <w:rFonts w:asciiTheme="majorBidi" w:hAnsiTheme="majorBidi" w:cstheme="majorBidi"/>
          <w:sz w:val="24"/>
          <w:szCs w:val="24"/>
        </w:rPr>
        <w:t xml:space="preserve">           </w:t>
      </w:r>
      <w:r w:rsidR="008B32C2" w:rsidRPr="00C35549">
        <w:rPr>
          <w:rFonts w:asciiTheme="majorBidi" w:hAnsiTheme="majorBidi" w:cstheme="majorBidi"/>
          <w:sz w:val="24"/>
          <w:szCs w:val="24"/>
        </w:rPr>
        <w:t xml:space="preserve">La génomique comparative est une approche permettant d’étudier la </w:t>
      </w:r>
      <w:r w:rsidR="004A3446" w:rsidRPr="00C35549">
        <w:rPr>
          <w:rFonts w:asciiTheme="majorBidi" w:hAnsiTheme="majorBidi" w:cstheme="majorBidi"/>
          <w:sz w:val="24"/>
          <w:szCs w:val="24"/>
        </w:rPr>
        <w:t>comp</w:t>
      </w:r>
      <w:r w:rsidR="004A3446">
        <w:rPr>
          <w:rFonts w:asciiTheme="majorBidi" w:hAnsiTheme="majorBidi" w:cstheme="majorBidi"/>
          <w:sz w:val="24"/>
          <w:szCs w:val="24"/>
        </w:rPr>
        <w:t xml:space="preserve">araison </w:t>
      </w:r>
      <w:r w:rsidR="008B32C2" w:rsidRPr="00C35549">
        <w:rPr>
          <w:rFonts w:asciiTheme="majorBidi" w:hAnsiTheme="majorBidi" w:cstheme="majorBidi"/>
          <w:sz w:val="24"/>
          <w:szCs w:val="24"/>
        </w:rPr>
        <w:t xml:space="preserve">et la structure des génomes. On peut </w:t>
      </w:r>
      <w:r w:rsidR="004A3446">
        <w:rPr>
          <w:rFonts w:asciiTheme="majorBidi" w:hAnsiTheme="majorBidi" w:cstheme="majorBidi"/>
          <w:sz w:val="24"/>
          <w:szCs w:val="24"/>
        </w:rPr>
        <w:t xml:space="preserve">la considérer </w:t>
      </w:r>
      <w:r w:rsidR="00A201EE" w:rsidRPr="00C35549">
        <w:rPr>
          <w:rFonts w:asciiTheme="majorBidi" w:hAnsiTheme="majorBidi" w:cstheme="majorBidi"/>
          <w:sz w:val="24"/>
          <w:szCs w:val="24"/>
        </w:rPr>
        <w:t xml:space="preserve"> </w:t>
      </w:r>
      <w:r w:rsidR="008B32C2" w:rsidRPr="00C35549">
        <w:rPr>
          <w:rFonts w:asciiTheme="majorBidi" w:hAnsiTheme="majorBidi" w:cstheme="majorBidi"/>
          <w:sz w:val="24"/>
          <w:szCs w:val="24"/>
        </w:rPr>
        <w:t xml:space="preserve">comme une  branche de la bio-informatique vouée à l’étude des similarités et des différences dans l’organisation et la structure des génomes. Son objectif </w:t>
      </w:r>
      <w:r w:rsidR="00A201EE" w:rsidRPr="00C35549">
        <w:rPr>
          <w:rFonts w:asciiTheme="majorBidi" w:hAnsiTheme="majorBidi" w:cstheme="majorBidi"/>
          <w:sz w:val="24"/>
          <w:szCs w:val="24"/>
        </w:rPr>
        <w:t>principal</w:t>
      </w:r>
      <w:r w:rsidR="008B32C2" w:rsidRPr="00C35549">
        <w:rPr>
          <w:rFonts w:asciiTheme="majorBidi" w:hAnsiTheme="majorBidi" w:cstheme="majorBidi"/>
          <w:sz w:val="24"/>
          <w:szCs w:val="24"/>
        </w:rPr>
        <w:t xml:space="preserve">  est de trouver les relations généralisables entre les génomes étudiés tout en appréciant l'histoire individuelle de chacun. Les relations qui peuvent exister entre gènes et entre génomes sont diverses (orthologie, paralogie, synténie, duplication, gain ou perte de gènes et de fonctions). Les protéines engendrées par les gènes ont aussi des relations, dynamiques, qui décrivent leurs manières d'interagir et de coopérer pour réaliser les comportements cellulaires.</w:t>
      </w:r>
    </w:p>
    <w:p w:rsidR="00EF75F1" w:rsidRPr="00C35549" w:rsidRDefault="00C35549" w:rsidP="00C35549">
      <w:pPr>
        <w:pStyle w:val="Paragraphedeliste"/>
        <w:widowControl w:val="0"/>
        <w:numPr>
          <w:ilvl w:val="0"/>
          <w:numId w:val="3"/>
        </w:numPr>
        <w:autoSpaceDE w:val="0"/>
        <w:autoSpaceDN w:val="0"/>
        <w:adjustRightInd w:val="0"/>
        <w:spacing w:line="360" w:lineRule="auto"/>
        <w:rPr>
          <w:rFonts w:asciiTheme="majorBidi" w:hAnsiTheme="majorBidi" w:cstheme="majorBidi"/>
          <w:b/>
          <w:bCs/>
          <w:sz w:val="24"/>
          <w:szCs w:val="24"/>
        </w:rPr>
      </w:pPr>
      <w:r>
        <w:rPr>
          <w:rFonts w:asciiTheme="majorBidi" w:hAnsiTheme="majorBidi" w:cstheme="majorBidi"/>
          <w:b/>
          <w:bCs/>
          <w:sz w:val="24"/>
          <w:szCs w:val="24"/>
        </w:rPr>
        <w:t>L</w:t>
      </w:r>
      <w:r w:rsidR="00EF75F1" w:rsidRPr="00C35549">
        <w:rPr>
          <w:rFonts w:asciiTheme="majorBidi" w:hAnsiTheme="majorBidi" w:cstheme="majorBidi"/>
          <w:b/>
          <w:bCs/>
          <w:sz w:val="24"/>
          <w:szCs w:val="24"/>
        </w:rPr>
        <w:t>e princ</w:t>
      </w:r>
      <w:r>
        <w:rPr>
          <w:rFonts w:asciiTheme="majorBidi" w:hAnsiTheme="majorBidi" w:cstheme="majorBidi"/>
          <w:b/>
          <w:bCs/>
          <w:sz w:val="24"/>
          <w:szCs w:val="24"/>
        </w:rPr>
        <w:t>ipe de la génomique comparative</w:t>
      </w:r>
    </w:p>
    <w:p w:rsidR="00EF75F1" w:rsidRPr="00C35549" w:rsidRDefault="00EF75F1" w:rsidP="00A7318D">
      <w:pPr>
        <w:widowControl w:val="0"/>
        <w:autoSpaceDE w:val="0"/>
        <w:autoSpaceDN w:val="0"/>
        <w:adjustRightInd w:val="0"/>
        <w:spacing w:line="360" w:lineRule="auto"/>
        <w:jc w:val="both"/>
        <w:rPr>
          <w:rFonts w:asciiTheme="majorBidi" w:hAnsiTheme="majorBidi" w:cstheme="majorBidi"/>
          <w:sz w:val="24"/>
          <w:szCs w:val="24"/>
        </w:rPr>
      </w:pPr>
      <w:r w:rsidRPr="00C35549">
        <w:rPr>
          <w:rFonts w:asciiTheme="majorBidi" w:hAnsiTheme="majorBidi" w:cstheme="majorBidi"/>
          <w:sz w:val="24"/>
          <w:szCs w:val="24"/>
        </w:rPr>
        <w:t>A l’échelle d’un génome entier (pour les procaryotes) ou d’une partie de génome (pour les eucaryotes), nous disposons de  solutions intégrées permettant de mettre en évidence la présence, l’absence ou la duplication de gènes (ou de groupes de gènes) dans le cadre d’études comparatives d’un génome par rapport à une référence connue.</w:t>
      </w:r>
      <w:r w:rsidR="00A7318D">
        <w:rPr>
          <w:rFonts w:asciiTheme="majorBidi" w:hAnsiTheme="majorBidi" w:cstheme="majorBidi"/>
          <w:sz w:val="24"/>
          <w:szCs w:val="24"/>
        </w:rPr>
        <w:t xml:space="preserve"> </w:t>
      </w:r>
      <w:r w:rsidRPr="00C35549">
        <w:rPr>
          <w:rFonts w:asciiTheme="majorBidi" w:hAnsiTheme="majorBidi" w:cstheme="majorBidi"/>
          <w:sz w:val="24"/>
          <w:szCs w:val="24"/>
        </w:rPr>
        <w:t>Cette application passe par l’extraction du génome étudié, son marquage à l’aide de fluorophores et enfin par une hybridation compétitive sur « microarray » en présence du génome de référence. Donc elle passe par la comparaison du ou des génomes étudiés à un génome de référence en utilisant la technologie des « microarrays » ou ce qui on appele puce à ADN.</w:t>
      </w:r>
    </w:p>
    <w:p w:rsidR="00A201EE" w:rsidRDefault="00A201EE" w:rsidP="00A55D28">
      <w:pPr>
        <w:pStyle w:val="Paragraphedeliste"/>
        <w:widowControl w:val="0"/>
        <w:numPr>
          <w:ilvl w:val="0"/>
          <w:numId w:val="3"/>
        </w:numPr>
        <w:autoSpaceDE w:val="0"/>
        <w:autoSpaceDN w:val="0"/>
        <w:adjustRightInd w:val="0"/>
        <w:spacing w:after="0" w:line="360" w:lineRule="auto"/>
        <w:jc w:val="both"/>
        <w:rPr>
          <w:rFonts w:asciiTheme="majorBidi" w:hAnsiTheme="majorBidi" w:cstheme="majorBidi"/>
          <w:b/>
          <w:bCs/>
          <w:sz w:val="24"/>
          <w:szCs w:val="24"/>
        </w:rPr>
      </w:pPr>
      <w:r w:rsidRPr="00C35549">
        <w:rPr>
          <w:rFonts w:asciiTheme="majorBidi" w:hAnsiTheme="majorBidi" w:cstheme="majorBidi"/>
          <w:b/>
          <w:bCs/>
          <w:sz w:val="24"/>
          <w:szCs w:val="24"/>
        </w:rPr>
        <w:t>Hom</w:t>
      </w:r>
      <w:r w:rsidR="004606DE">
        <w:rPr>
          <w:rFonts w:asciiTheme="majorBidi" w:hAnsiTheme="majorBidi" w:cstheme="majorBidi"/>
          <w:b/>
          <w:bCs/>
          <w:sz w:val="24"/>
          <w:szCs w:val="24"/>
        </w:rPr>
        <w:t xml:space="preserve">ologie </w:t>
      </w:r>
      <w:r w:rsidR="00A55D28">
        <w:rPr>
          <w:rFonts w:asciiTheme="majorBidi" w:hAnsiTheme="majorBidi" w:cstheme="majorBidi"/>
          <w:b/>
          <w:bCs/>
          <w:sz w:val="24"/>
          <w:szCs w:val="24"/>
        </w:rPr>
        <w:t xml:space="preserve"> et identité de séquence</w:t>
      </w:r>
    </w:p>
    <w:p w:rsidR="00FE22D5" w:rsidRDefault="00FE22D5" w:rsidP="00FE22D5">
      <w:pPr>
        <w:widowControl w:val="0"/>
        <w:autoSpaceDE w:val="0"/>
        <w:autoSpaceDN w:val="0"/>
        <w:adjustRightInd w:val="0"/>
        <w:spacing w:after="0" w:line="360" w:lineRule="auto"/>
        <w:jc w:val="both"/>
        <w:rPr>
          <w:rFonts w:asciiTheme="majorBidi" w:hAnsiTheme="majorBidi" w:cstheme="majorBidi"/>
          <w:sz w:val="24"/>
          <w:szCs w:val="24"/>
        </w:rPr>
      </w:pPr>
      <w:r w:rsidRPr="00FE22D5">
        <w:rPr>
          <w:rFonts w:asciiTheme="majorBidi" w:hAnsiTheme="majorBidi" w:cstheme="majorBidi"/>
          <w:sz w:val="24"/>
          <w:szCs w:val="24"/>
        </w:rPr>
        <w:t>La comparaison de séquences avec des logiciels</w:t>
      </w:r>
      <w:r>
        <w:rPr>
          <w:rFonts w:asciiTheme="majorBidi" w:hAnsiTheme="majorBidi" w:cstheme="majorBidi"/>
          <w:sz w:val="24"/>
          <w:szCs w:val="24"/>
        </w:rPr>
        <w:t xml:space="preserve"> </w:t>
      </w:r>
      <w:r w:rsidRPr="00FE22D5">
        <w:rPr>
          <w:rFonts w:asciiTheme="majorBidi" w:hAnsiTheme="majorBidi" w:cstheme="majorBidi"/>
          <w:sz w:val="24"/>
          <w:szCs w:val="24"/>
        </w:rPr>
        <w:t>de comparaison</w:t>
      </w:r>
      <w:r w:rsidR="00AC340C">
        <w:rPr>
          <w:rFonts w:asciiTheme="majorBidi" w:hAnsiTheme="majorBidi" w:cstheme="majorBidi"/>
          <w:sz w:val="24"/>
          <w:szCs w:val="24"/>
        </w:rPr>
        <w:t xml:space="preserve"> de séquences type BLAST conduit à </w:t>
      </w:r>
      <w:r w:rsidR="002A7FEE">
        <w:rPr>
          <w:rFonts w:asciiTheme="majorBidi" w:hAnsiTheme="majorBidi" w:cstheme="majorBidi"/>
          <w:sz w:val="24"/>
          <w:szCs w:val="24"/>
        </w:rPr>
        <w:t>mesurer</w:t>
      </w:r>
      <w:r w:rsidR="00AC340C">
        <w:rPr>
          <w:rFonts w:asciiTheme="majorBidi" w:hAnsiTheme="majorBidi" w:cstheme="majorBidi"/>
          <w:sz w:val="24"/>
          <w:szCs w:val="24"/>
        </w:rPr>
        <w:t xml:space="preserve"> un pourcentage d’identité entre les séquences nucléotidiques ou d’acides aminés. Pour les séquences d’acides aminés, on mesure également un pourcentage de similarité, qui tient compte, outre l’identité des acides aminés, du fait que les acides aminés appartiennent à une </w:t>
      </w:r>
      <w:r w:rsidR="002A7FEE">
        <w:rPr>
          <w:rFonts w:asciiTheme="majorBidi" w:hAnsiTheme="majorBidi" w:cstheme="majorBidi"/>
          <w:sz w:val="24"/>
          <w:szCs w:val="24"/>
        </w:rPr>
        <w:t>même</w:t>
      </w:r>
      <w:r w:rsidR="00AC340C">
        <w:rPr>
          <w:rFonts w:asciiTheme="majorBidi" w:hAnsiTheme="majorBidi" w:cstheme="majorBidi"/>
          <w:sz w:val="24"/>
          <w:szCs w:val="24"/>
        </w:rPr>
        <w:t xml:space="preserve"> famille selon que leur chaine latérale est acide, polaire neutre, non polaire. Cette identité et cette similarité sont qualifiable</w:t>
      </w:r>
      <w:r w:rsidR="00D17FC8">
        <w:rPr>
          <w:rFonts w:asciiTheme="majorBidi" w:hAnsiTheme="majorBidi" w:cstheme="majorBidi"/>
          <w:sz w:val="24"/>
          <w:szCs w:val="24"/>
        </w:rPr>
        <w:t>s.</w:t>
      </w:r>
    </w:p>
    <w:p w:rsidR="00D17FC8" w:rsidRDefault="00D17FC8" w:rsidP="00FE22D5">
      <w:pPr>
        <w:widowControl w:val="0"/>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Si deux séquences présentent des identités ou similarités de séquence, cela peut traduire :</w:t>
      </w:r>
    </w:p>
    <w:p w:rsidR="00D17FC8" w:rsidRDefault="00D17FC8" w:rsidP="00D17FC8">
      <w:pPr>
        <w:pStyle w:val="Paragraphedeliste"/>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Qu’elles ont une même origine phylogénétique. On dit alors que les séquences sont homologues, c'est-à-dire qu’elles sont issues d’une séquence ancestrale commune. Contrairement  à la notion d’identité ou de similarité (deux séquences peuvent être </w:t>
      </w:r>
      <w:r>
        <w:rPr>
          <w:rFonts w:asciiTheme="majorBidi" w:hAnsiTheme="majorBidi" w:cstheme="majorBidi"/>
          <w:sz w:val="24"/>
          <w:szCs w:val="24"/>
        </w:rPr>
        <w:lastRenderedPageBreak/>
        <w:t>similaire à 55%), la notion d’homologie n’est pas quantifiable (</w:t>
      </w:r>
      <w:r w:rsidR="00D57239">
        <w:rPr>
          <w:rFonts w:asciiTheme="majorBidi" w:hAnsiTheme="majorBidi" w:cstheme="majorBidi"/>
          <w:sz w:val="24"/>
          <w:szCs w:val="24"/>
        </w:rPr>
        <w:t>il existe ou il n’existe pas de</w:t>
      </w:r>
      <w:r w:rsidR="00E61363">
        <w:rPr>
          <w:rFonts w:asciiTheme="majorBidi" w:hAnsiTheme="majorBidi" w:cstheme="majorBidi"/>
          <w:sz w:val="24"/>
          <w:szCs w:val="24"/>
        </w:rPr>
        <w:t xml:space="preserve"> séquence ancestrales communes) ;</w:t>
      </w:r>
    </w:p>
    <w:p w:rsidR="00E61363" w:rsidRDefault="00E61363" w:rsidP="00D17FC8">
      <w:pPr>
        <w:pStyle w:val="Paragraphedeliste"/>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Qu’elles ont convergé bien qu’elles n’aient pas d’</w:t>
      </w:r>
      <w:r w:rsidR="002A7FEE">
        <w:rPr>
          <w:rFonts w:asciiTheme="majorBidi" w:hAnsiTheme="majorBidi" w:cstheme="majorBidi"/>
          <w:sz w:val="24"/>
          <w:szCs w:val="24"/>
        </w:rPr>
        <w:t>ancêtre</w:t>
      </w:r>
      <w:r>
        <w:rPr>
          <w:rFonts w:asciiTheme="majorBidi" w:hAnsiTheme="majorBidi" w:cstheme="majorBidi"/>
          <w:sz w:val="24"/>
          <w:szCs w:val="24"/>
        </w:rPr>
        <w:t xml:space="preserve"> commun. Ceci peut </w:t>
      </w:r>
      <w:r w:rsidR="002A7FEE">
        <w:rPr>
          <w:rFonts w:asciiTheme="majorBidi" w:hAnsiTheme="majorBidi" w:cstheme="majorBidi"/>
          <w:sz w:val="24"/>
          <w:szCs w:val="24"/>
        </w:rPr>
        <w:t>être</w:t>
      </w:r>
      <w:r>
        <w:rPr>
          <w:rFonts w:asciiTheme="majorBidi" w:hAnsiTheme="majorBidi" w:cstheme="majorBidi"/>
          <w:sz w:val="24"/>
          <w:szCs w:val="24"/>
        </w:rPr>
        <w:t xml:space="preserve"> du au fait du hasard (dans des régions de faible </w:t>
      </w:r>
      <w:r w:rsidR="002A7FEE">
        <w:rPr>
          <w:rFonts w:asciiTheme="majorBidi" w:hAnsiTheme="majorBidi" w:cstheme="majorBidi"/>
          <w:sz w:val="24"/>
          <w:szCs w:val="24"/>
        </w:rPr>
        <w:t>complexifié</w:t>
      </w:r>
      <w:r>
        <w:rPr>
          <w:rFonts w:asciiTheme="majorBidi" w:hAnsiTheme="majorBidi" w:cstheme="majorBidi"/>
          <w:sz w:val="24"/>
          <w:szCs w:val="24"/>
        </w:rPr>
        <w:t>, c'est-à-dire avec des nucléotides ou des acides aminés très répétés) ou d’une pression de sélection commune.</w:t>
      </w:r>
    </w:p>
    <w:p w:rsidR="00E61363" w:rsidRDefault="00E61363" w:rsidP="00E61363">
      <w:pPr>
        <w:widowControl w:val="0"/>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On </w:t>
      </w:r>
      <w:r w:rsidR="008917CE">
        <w:rPr>
          <w:rFonts w:asciiTheme="majorBidi" w:hAnsiTheme="majorBidi" w:cstheme="majorBidi"/>
          <w:sz w:val="24"/>
          <w:szCs w:val="24"/>
        </w:rPr>
        <w:t>considère</w:t>
      </w:r>
      <w:r>
        <w:rPr>
          <w:rFonts w:asciiTheme="majorBidi" w:hAnsiTheme="majorBidi" w:cstheme="majorBidi"/>
          <w:sz w:val="24"/>
          <w:szCs w:val="24"/>
        </w:rPr>
        <w:t xml:space="preserve"> en général qu’il y a homologie entre deux séquences, si leur similarité est </w:t>
      </w:r>
      <w:r w:rsidR="008917CE">
        <w:rPr>
          <w:rFonts w:asciiTheme="majorBidi" w:hAnsiTheme="majorBidi" w:cstheme="majorBidi"/>
          <w:sz w:val="24"/>
          <w:szCs w:val="24"/>
        </w:rPr>
        <w:t>supérieure</w:t>
      </w:r>
      <w:r>
        <w:rPr>
          <w:rFonts w:asciiTheme="majorBidi" w:hAnsiTheme="majorBidi" w:cstheme="majorBidi"/>
          <w:sz w:val="24"/>
          <w:szCs w:val="24"/>
        </w:rPr>
        <w:t xml:space="preserve"> à 30%</w:t>
      </w:r>
      <w:r w:rsidR="00A55D28">
        <w:rPr>
          <w:rFonts w:asciiTheme="majorBidi" w:hAnsiTheme="majorBidi" w:cstheme="majorBidi"/>
          <w:sz w:val="24"/>
          <w:szCs w:val="24"/>
        </w:rPr>
        <w:t>.</w:t>
      </w:r>
    </w:p>
    <w:p w:rsidR="00A55D28" w:rsidRDefault="00A55D28" w:rsidP="00A55D28">
      <w:pPr>
        <w:pStyle w:val="Paragraphedeliste"/>
        <w:widowControl w:val="0"/>
        <w:numPr>
          <w:ilvl w:val="0"/>
          <w:numId w:val="3"/>
        </w:numPr>
        <w:autoSpaceDE w:val="0"/>
        <w:autoSpaceDN w:val="0"/>
        <w:adjustRightInd w:val="0"/>
        <w:spacing w:after="0" w:line="360" w:lineRule="auto"/>
        <w:jc w:val="both"/>
        <w:rPr>
          <w:rFonts w:asciiTheme="majorBidi" w:hAnsiTheme="majorBidi" w:cstheme="majorBidi"/>
          <w:b/>
          <w:bCs/>
          <w:sz w:val="24"/>
          <w:szCs w:val="24"/>
        </w:rPr>
      </w:pPr>
      <w:r w:rsidRPr="00A55D28">
        <w:rPr>
          <w:rFonts w:asciiTheme="majorBidi" w:hAnsiTheme="majorBidi" w:cstheme="majorBidi"/>
          <w:b/>
          <w:bCs/>
          <w:sz w:val="24"/>
          <w:szCs w:val="24"/>
        </w:rPr>
        <w:t>Homologie et origine ancestrale</w:t>
      </w:r>
    </w:p>
    <w:p w:rsidR="00A55D28" w:rsidRDefault="00A55D28" w:rsidP="00A55D28">
      <w:pPr>
        <w:widowControl w:val="0"/>
        <w:autoSpaceDE w:val="0"/>
        <w:autoSpaceDN w:val="0"/>
        <w:adjustRightInd w:val="0"/>
        <w:spacing w:after="0" w:line="360" w:lineRule="auto"/>
        <w:jc w:val="both"/>
        <w:rPr>
          <w:rFonts w:asciiTheme="majorBidi" w:hAnsiTheme="majorBidi" w:cstheme="majorBidi"/>
          <w:sz w:val="24"/>
          <w:szCs w:val="24"/>
        </w:rPr>
      </w:pPr>
      <w:r w:rsidRPr="00A55D28">
        <w:rPr>
          <w:rFonts w:asciiTheme="majorBidi" w:hAnsiTheme="majorBidi" w:cstheme="majorBidi"/>
          <w:sz w:val="24"/>
          <w:szCs w:val="24"/>
        </w:rPr>
        <w:t>Au sein des gènes homolo</w:t>
      </w:r>
      <w:r>
        <w:rPr>
          <w:rFonts w:asciiTheme="majorBidi" w:hAnsiTheme="majorBidi" w:cstheme="majorBidi"/>
          <w:sz w:val="24"/>
          <w:szCs w:val="24"/>
        </w:rPr>
        <w:t>gues, selon la nature de l’événement évolutif qui les séparés, on décrit trois sous-classes :</w:t>
      </w:r>
    </w:p>
    <w:p w:rsidR="00A55D28" w:rsidRDefault="00A55D28" w:rsidP="00A55D28">
      <w:pPr>
        <w:pStyle w:val="Paragraphedeliste"/>
        <w:widowControl w:val="0"/>
        <w:numPr>
          <w:ilvl w:val="0"/>
          <w:numId w:val="5"/>
        </w:numPr>
        <w:autoSpaceDE w:val="0"/>
        <w:autoSpaceDN w:val="0"/>
        <w:adjustRightInd w:val="0"/>
        <w:spacing w:after="0" w:line="360" w:lineRule="auto"/>
        <w:jc w:val="both"/>
        <w:rPr>
          <w:rFonts w:asciiTheme="majorBidi" w:hAnsiTheme="majorBidi" w:cstheme="majorBidi"/>
          <w:sz w:val="24"/>
          <w:szCs w:val="24"/>
        </w:rPr>
      </w:pPr>
      <w:r w:rsidRPr="00CA6D77">
        <w:rPr>
          <w:rFonts w:asciiTheme="majorBidi" w:hAnsiTheme="majorBidi" w:cstheme="majorBidi"/>
          <w:b/>
          <w:bCs/>
          <w:sz w:val="24"/>
          <w:szCs w:val="24"/>
        </w:rPr>
        <w:t>Les gènes orthologues</w:t>
      </w:r>
      <w:r>
        <w:rPr>
          <w:rFonts w:asciiTheme="majorBidi" w:hAnsiTheme="majorBidi" w:cstheme="majorBidi"/>
          <w:sz w:val="24"/>
          <w:szCs w:val="24"/>
        </w:rPr>
        <w:t> </w:t>
      </w:r>
      <w:r w:rsidR="00CA6D77">
        <w:rPr>
          <w:rFonts w:asciiTheme="majorBidi" w:hAnsiTheme="majorBidi" w:cstheme="majorBidi"/>
          <w:sz w:val="24"/>
          <w:szCs w:val="24"/>
        </w:rPr>
        <w:t>: ce</w:t>
      </w:r>
      <w:r>
        <w:rPr>
          <w:rFonts w:asciiTheme="majorBidi" w:hAnsiTheme="majorBidi" w:cstheme="majorBidi"/>
          <w:sz w:val="24"/>
          <w:szCs w:val="24"/>
        </w:rPr>
        <w:t xml:space="preserve"> sont des gènes ayant évolué à partir d’un </w:t>
      </w:r>
      <w:r w:rsidR="008226FB">
        <w:rPr>
          <w:rFonts w:asciiTheme="majorBidi" w:hAnsiTheme="majorBidi" w:cstheme="majorBidi"/>
          <w:sz w:val="24"/>
          <w:szCs w:val="24"/>
        </w:rPr>
        <w:t>même</w:t>
      </w:r>
      <w:r>
        <w:rPr>
          <w:rFonts w:asciiTheme="majorBidi" w:hAnsiTheme="majorBidi" w:cstheme="majorBidi"/>
          <w:sz w:val="24"/>
          <w:szCs w:val="24"/>
        </w:rPr>
        <w:t xml:space="preserve"> gène ancestral suit à </w:t>
      </w:r>
      <w:r w:rsidR="00CA6D77">
        <w:rPr>
          <w:rFonts w:asciiTheme="majorBidi" w:hAnsiTheme="majorBidi" w:cstheme="majorBidi"/>
          <w:sz w:val="24"/>
          <w:szCs w:val="24"/>
        </w:rPr>
        <w:t>des événements de spéciation (séparation d’espèces). Souvent, la fonction des gènes orthologues est conservée au cours de l’évolution</w:t>
      </w:r>
      <w:r w:rsidR="009016F7">
        <w:rPr>
          <w:rFonts w:asciiTheme="majorBidi" w:hAnsiTheme="majorBidi" w:cstheme="majorBidi"/>
          <w:sz w:val="24"/>
          <w:szCs w:val="24"/>
        </w:rPr>
        <w:t> :</w:t>
      </w:r>
    </w:p>
    <w:p w:rsidR="00C7597D" w:rsidRDefault="009016F7" w:rsidP="00C7597D">
      <w:pPr>
        <w:pStyle w:val="Paragraphedeliste"/>
        <w:widowControl w:val="0"/>
        <w:numPr>
          <w:ilvl w:val="0"/>
          <w:numId w:val="5"/>
        </w:num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b/>
          <w:bCs/>
          <w:sz w:val="24"/>
          <w:szCs w:val="24"/>
        </w:rPr>
        <w:t>Les gènes paralogues </w:t>
      </w:r>
      <w:r w:rsidRPr="009016F7">
        <w:rPr>
          <w:rFonts w:asciiTheme="majorBidi" w:hAnsiTheme="majorBidi" w:cstheme="majorBidi"/>
          <w:sz w:val="24"/>
          <w:szCs w:val="24"/>
        </w:rPr>
        <w:t>:</w:t>
      </w:r>
      <w:r>
        <w:rPr>
          <w:rFonts w:asciiTheme="majorBidi" w:hAnsiTheme="majorBidi" w:cstheme="majorBidi"/>
          <w:sz w:val="24"/>
          <w:szCs w:val="24"/>
        </w:rPr>
        <w:t xml:space="preserve"> ce sont des gènes issus d’événements de duplication au sein d’un </w:t>
      </w:r>
      <w:r w:rsidR="008226FB">
        <w:rPr>
          <w:rFonts w:asciiTheme="majorBidi" w:hAnsiTheme="majorBidi" w:cstheme="majorBidi"/>
          <w:sz w:val="24"/>
          <w:szCs w:val="24"/>
        </w:rPr>
        <w:t>génome</w:t>
      </w:r>
      <w:r w:rsidR="00C7597D">
        <w:rPr>
          <w:rFonts w:asciiTheme="majorBidi" w:hAnsiTheme="majorBidi" w:cstheme="majorBidi"/>
          <w:sz w:val="24"/>
          <w:szCs w:val="24"/>
        </w:rPr>
        <w:t>. Un ou plusieurs paralogues peut subir des modifications de séquence, telles que sa fonction en deviennent différentes. Il peut également perdre sa  fonction et devenir un pseudo-gène</w:t>
      </w:r>
    </w:p>
    <w:p w:rsidR="00C7597D" w:rsidRDefault="00C7597D" w:rsidP="00C7597D">
      <w:pPr>
        <w:pStyle w:val="Paragraphedeliste"/>
        <w:widowControl w:val="0"/>
        <w:numPr>
          <w:ilvl w:val="0"/>
          <w:numId w:val="5"/>
        </w:num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b/>
          <w:bCs/>
          <w:sz w:val="24"/>
          <w:szCs w:val="24"/>
        </w:rPr>
        <w:t>Les gènes xénologues </w:t>
      </w:r>
      <w:r w:rsidRPr="00C7597D">
        <w:rPr>
          <w:rFonts w:asciiTheme="majorBidi" w:hAnsiTheme="majorBidi" w:cstheme="majorBidi"/>
          <w:sz w:val="24"/>
          <w:szCs w:val="24"/>
        </w:rPr>
        <w:t>:</w:t>
      </w:r>
      <w:r>
        <w:rPr>
          <w:rFonts w:asciiTheme="majorBidi" w:hAnsiTheme="majorBidi" w:cstheme="majorBidi"/>
          <w:sz w:val="24"/>
          <w:szCs w:val="24"/>
        </w:rPr>
        <w:t xml:space="preserve"> ce sont des gènes ayant été a</w:t>
      </w:r>
      <w:r w:rsidR="008226FB">
        <w:rPr>
          <w:rFonts w:asciiTheme="majorBidi" w:hAnsiTheme="majorBidi" w:cstheme="majorBidi"/>
          <w:sz w:val="24"/>
          <w:szCs w:val="24"/>
        </w:rPr>
        <w:t>c</w:t>
      </w:r>
      <w:r>
        <w:rPr>
          <w:rFonts w:asciiTheme="majorBidi" w:hAnsiTheme="majorBidi" w:cstheme="majorBidi"/>
          <w:sz w:val="24"/>
          <w:szCs w:val="24"/>
        </w:rPr>
        <w:t>quis par</w:t>
      </w:r>
      <w:r w:rsidR="008226FB">
        <w:rPr>
          <w:rFonts w:asciiTheme="majorBidi" w:hAnsiTheme="majorBidi" w:cstheme="majorBidi"/>
          <w:sz w:val="24"/>
          <w:szCs w:val="24"/>
        </w:rPr>
        <w:t xml:space="preserve"> transfert génétique horizontal (transfert de gènes entre bactéries). Souvent, les gènes xénologues confèrent à la bactérie receveuse une nouvelle fonction qu’elle ne  possédait pas initialement.</w:t>
      </w:r>
    </w:p>
    <w:p w:rsidR="002A7FEE" w:rsidRDefault="008226FB" w:rsidP="002A7FEE">
      <w:pPr>
        <w:widowControl w:val="0"/>
        <w:autoSpaceDE w:val="0"/>
        <w:autoSpaceDN w:val="0"/>
        <w:adjustRightInd w:val="0"/>
        <w:spacing w:after="0" w:line="360" w:lineRule="auto"/>
        <w:jc w:val="both"/>
        <w:rPr>
          <w:rFonts w:asciiTheme="majorBidi" w:eastAsia="Times New Roman" w:hAnsiTheme="majorBidi" w:cstheme="majorBidi"/>
          <w:b/>
          <w:bCs/>
          <w:sz w:val="24"/>
          <w:szCs w:val="24"/>
        </w:rPr>
      </w:pPr>
      <w:r>
        <w:rPr>
          <w:rFonts w:asciiTheme="majorBidi" w:hAnsiTheme="majorBidi" w:cstheme="majorBidi"/>
          <w:sz w:val="24"/>
          <w:szCs w:val="24"/>
        </w:rPr>
        <w:t>On parle également de protéines orthologues, paralogues ou xénologues selon qu’elles sont codées par des gènes orthologues, paralogues ou xénologues.</w:t>
      </w:r>
    </w:p>
    <w:p w:rsidR="002A7FEE" w:rsidRPr="002A7FEE" w:rsidRDefault="002A7FEE" w:rsidP="002A7FEE">
      <w:pPr>
        <w:pStyle w:val="Paragraphedeliste"/>
        <w:widowControl w:val="0"/>
        <w:numPr>
          <w:ilvl w:val="0"/>
          <w:numId w:val="3"/>
        </w:numPr>
        <w:autoSpaceDE w:val="0"/>
        <w:autoSpaceDN w:val="0"/>
        <w:adjustRightInd w:val="0"/>
        <w:spacing w:after="0" w:line="360" w:lineRule="auto"/>
        <w:jc w:val="both"/>
        <w:rPr>
          <w:rFonts w:asciiTheme="majorBidi" w:eastAsia="Times New Roman" w:hAnsiTheme="majorBidi" w:cstheme="majorBidi"/>
          <w:b/>
          <w:bCs/>
          <w:sz w:val="24"/>
          <w:szCs w:val="24"/>
        </w:rPr>
      </w:pPr>
      <w:r w:rsidRPr="002A7FEE">
        <w:rPr>
          <w:rFonts w:asciiTheme="majorBidi" w:eastAsia="Times New Roman" w:hAnsiTheme="majorBidi" w:cstheme="majorBidi"/>
          <w:b/>
          <w:bCs/>
          <w:sz w:val="24"/>
          <w:szCs w:val="24"/>
        </w:rPr>
        <w:t>Relation de synténie entre les génomes</w:t>
      </w:r>
    </w:p>
    <w:p w:rsidR="002A7FEE" w:rsidRPr="002A7FEE" w:rsidRDefault="002A7FEE" w:rsidP="002A7FEE">
      <w:pPr>
        <w:widowControl w:val="0"/>
        <w:autoSpaceDE w:val="0"/>
        <w:autoSpaceDN w:val="0"/>
        <w:adjustRightInd w:val="0"/>
        <w:spacing w:after="0" w:line="360" w:lineRule="auto"/>
        <w:jc w:val="both"/>
        <w:rPr>
          <w:rFonts w:asciiTheme="majorBidi" w:eastAsia="Times New Roman" w:hAnsiTheme="majorBidi" w:cstheme="majorBidi"/>
          <w:b/>
          <w:bCs/>
          <w:sz w:val="24"/>
          <w:szCs w:val="24"/>
        </w:rPr>
      </w:pPr>
      <w:r w:rsidRPr="002A7FEE">
        <w:rPr>
          <w:rFonts w:asciiTheme="majorBidi" w:eastAsia="Times New Roman" w:hAnsiTheme="majorBidi" w:cstheme="majorBidi"/>
          <w:b/>
          <w:bCs/>
          <w:sz w:val="24"/>
          <w:szCs w:val="24"/>
        </w:rPr>
        <w:t>5-1 définitions de la synténie</w:t>
      </w:r>
    </w:p>
    <w:p w:rsidR="00BA0919" w:rsidRPr="00C35549" w:rsidRDefault="002A7FEE" w:rsidP="00BA0919">
      <w:pPr>
        <w:widowControl w:val="0"/>
        <w:autoSpaceDE w:val="0"/>
        <w:autoSpaceDN w:val="0"/>
        <w:adjustRightInd w:val="0"/>
        <w:spacing w:after="0" w:line="360" w:lineRule="auto"/>
        <w:jc w:val="both"/>
        <w:rPr>
          <w:rFonts w:asciiTheme="majorBidi" w:hAnsiTheme="majorBidi" w:cstheme="majorBidi"/>
          <w:sz w:val="24"/>
          <w:szCs w:val="24"/>
        </w:rPr>
      </w:pPr>
      <w:r>
        <w:rPr>
          <w:rFonts w:asciiTheme="majorBidi" w:eastAsia="Times New Roman" w:hAnsiTheme="majorBidi" w:cstheme="majorBidi"/>
          <w:sz w:val="24"/>
          <w:szCs w:val="24"/>
        </w:rPr>
        <w:t>Dans l’hypothèse ou deux espèces comparées sont issues d’un même ancêtre commun, il est raisonnable de penser que leur organisation génomique à garder des traces de ce passé commun comme, par exemple, des fragments génomiques dans lesquels l’ordre des gènes est conservé. On appelle synténie la conservation de l’ordre des gènes sur le chromosome au sein de lignées différentes.</w:t>
      </w:r>
      <w:r w:rsidR="00BA0919" w:rsidRPr="00BA0919">
        <w:rPr>
          <w:rFonts w:asciiTheme="majorBidi" w:hAnsiTheme="majorBidi" w:cstheme="majorBidi"/>
          <w:sz w:val="24"/>
          <w:szCs w:val="24"/>
        </w:rPr>
        <w:t xml:space="preserve"> </w:t>
      </w:r>
      <w:r w:rsidR="00BA0919" w:rsidRPr="00C35549">
        <w:rPr>
          <w:rFonts w:asciiTheme="majorBidi" w:hAnsiTheme="majorBidi" w:cstheme="majorBidi"/>
          <w:sz w:val="24"/>
          <w:szCs w:val="24"/>
        </w:rPr>
        <w:t xml:space="preserve">La </w:t>
      </w:r>
      <w:r w:rsidR="00BA0919">
        <w:rPr>
          <w:rFonts w:asciiTheme="majorBidi" w:hAnsiTheme="majorBidi" w:cstheme="majorBidi"/>
          <w:b/>
          <w:bCs/>
          <w:sz w:val="24"/>
          <w:szCs w:val="24"/>
        </w:rPr>
        <w:t>synténie</w:t>
      </w:r>
      <w:r w:rsidR="00BA0919" w:rsidRPr="00C35549">
        <w:rPr>
          <w:rFonts w:asciiTheme="majorBidi" w:hAnsiTheme="majorBidi" w:cstheme="majorBidi"/>
          <w:b/>
          <w:bCs/>
          <w:sz w:val="24"/>
          <w:szCs w:val="24"/>
        </w:rPr>
        <w:t xml:space="preserve"> </w:t>
      </w:r>
      <w:r w:rsidR="00BA0919" w:rsidRPr="00C35549">
        <w:rPr>
          <w:rFonts w:asciiTheme="majorBidi" w:hAnsiTheme="majorBidi" w:cstheme="majorBidi"/>
          <w:sz w:val="24"/>
          <w:szCs w:val="24"/>
        </w:rPr>
        <w:t>se caractérise par 2 types de relations :</w:t>
      </w:r>
    </w:p>
    <w:p w:rsidR="00BA0919" w:rsidRPr="00C35549" w:rsidRDefault="00BA0919" w:rsidP="00BA0919">
      <w:pPr>
        <w:widowControl w:val="0"/>
        <w:autoSpaceDE w:val="0"/>
        <w:autoSpaceDN w:val="0"/>
        <w:adjustRightInd w:val="0"/>
        <w:spacing w:after="0" w:line="360" w:lineRule="auto"/>
        <w:jc w:val="both"/>
        <w:rPr>
          <w:rFonts w:asciiTheme="majorBidi" w:hAnsiTheme="majorBidi" w:cstheme="majorBidi"/>
          <w:sz w:val="24"/>
          <w:szCs w:val="24"/>
        </w:rPr>
      </w:pPr>
      <w:r w:rsidRPr="00C35549">
        <w:rPr>
          <w:rFonts w:asciiTheme="majorBidi" w:hAnsiTheme="majorBidi" w:cstheme="majorBidi"/>
          <w:sz w:val="24"/>
          <w:szCs w:val="24"/>
        </w:rPr>
        <w:t>• Relation de "</w:t>
      </w:r>
      <w:r w:rsidRPr="00C35549">
        <w:rPr>
          <w:rFonts w:asciiTheme="majorBidi" w:hAnsiTheme="majorBidi" w:cstheme="majorBidi"/>
          <w:b/>
          <w:bCs/>
          <w:sz w:val="24"/>
          <w:szCs w:val="24"/>
        </w:rPr>
        <w:t>co-localisation</w:t>
      </w:r>
      <w:r w:rsidRPr="00C35549">
        <w:rPr>
          <w:rFonts w:asciiTheme="majorBidi" w:hAnsiTheme="majorBidi" w:cstheme="majorBidi"/>
          <w:sz w:val="24"/>
          <w:szCs w:val="24"/>
        </w:rPr>
        <w:t>" (intra génome).</w:t>
      </w:r>
    </w:p>
    <w:p w:rsidR="00BA0919" w:rsidRPr="00C35549" w:rsidRDefault="00BA0919" w:rsidP="00BA0919">
      <w:pPr>
        <w:widowControl w:val="0"/>
        <w:autoSpaceDE w:val="0"/>
        <w:autoSpaceDN w:val="0"/>
        <w:adjustRightInd w:val="0"/>
        <w:spacing w:after="0" w:line="360" w:lineRule="auto"/>
        <w:jc w:val="both"/>
        <w:rPr>
          <w:rFonts w:asciiTheme="majorBidi" w:hAnsiTheme="majorBidi" w:cstheme="majorBidi"/>
          <w:sz w:val="24"/>
          <w:szCs w:val="24"/>
        </w:rPr>
      </w:pPr>
      <w:r w:rsidRPr="00C35549">
        <w:rPr>
          <w:rFonts w:asciiTheme="majorBidi" w:hAnsiTheme="majorBidi" w:cstheme="majorBidi"/>
          <w:sz w:val="24"/>
          <w:szCs w:val="24"/>
        </w:rPr>
        <w:t>• Relation de "</w:t>
      </w:r>
      <w:r w:rsidRPr="00C35549">
        <w:rPr>
          <w:rFonts w:asciiTheme="majorBidi" w:hAnsiTheme="majorBidi" w:cstheme="majorBidi"/>
          <w:b/>
          <w:bCs/>
          <w:sz w:val="24"/>
          <w:szCs w:val="24"/>
        </w:rPr>
        <w:t>correspondance</w:t>
      </w:r>
      <w:r w:rsidRPr="00C35549">
        <w:rPr>
          <w:rFonts w:asciiTheme="majorBidi" w:hAnsiTheme="majorBidi" w:cstheme="majorBidi"/>
          <w:sz w:val="24"/>
          <w:szCs w:val="24"/>
        </w:rPr>
        <w:t>" (inter génomes).</w:t>
      </w:r>
    </w:p>
    <w:p w:rsidR="002A7FEE" w:rsidRDefault="002A7FEE" w:rsidP="002A7FEE">
      <w:pPr>
        <w:widowControl w:val="0"/>
        <w:autoSpaceDE w:val="0"/>
        <w:autoSpaceDN w:val="0"/>
        <w:adjustRightInd w:val="0"/>
        <w:spacing w:after="0" w:line="360" w:lineRule="auto"/>
        <w:jc w:val="both"/>
        <w:rPr>
          <w:rFonts w:asciiTheme="majorBidi" w:eastAsia="Times New Roman" w:hAnsiTheme="majorBidi" w:cstheme="majorBidi"/>
          <w:sz w:val="24"/>
          <w:szCs w:val="24"/>
        </w:rPr>
      </w:pPr>
    </w:p>
    <w:p w:rsidR="002A7FEE" w:rsidRDefault="002A7FEE" w:rsidP="002A7FEE">
      <w:pPr>
        <w:widowControl w:val="0"/>
        <w:autoSpaceDE w:val="0"/>
        <w:autoSpaceDN w:val="0"/>
        <w:adjustRightInd w:val="0"/>
        <w:spacing w:after="0" w:line="360" w:lineRule="auto"/>
        <w:jc w:val="both"/>
        <w:rPr>
          <w:rFonts w:asciiTheme="majorBidi" w:eastAsia="Times New Roman" w:hAnsiTheme="majorBidi" w:cstheme="majorBidi"/>
          <w:b/>
          <w:bCs/>
          <w:sz w:val="24"/>
          <w:szCs w:val="24"/>
        </w:rPr>
      </w:pPr>
      <w:r w:rsidRPr="002A7FEE">
        <w:rPr>
          <w:rFonts w:asciiTheme="majorBidi" w:eastAsia="Times New Roman" w:hAnsiTheme="majorBidi" w:cstheme="majorBidi"/>
          <w:b/>
          <w:bCs/>
          <w:sz w:val="24"/>
          <w:szCs w:val="24"/>
        </w:rPr>
        <w:lastRenderedPageBreak/>
        <w:t>5-2 Plateformes informatiques d’étude de la synténie</w:t>
      </w:r>
    </w:p>
    <w:p w:rsidR="00810431" w:rsidRPr="007B5789" w:rsidRDefault="00810431" w:rsidP="002A7FEE">
      <w:pPr>
        <w:widowControl w:val="0"/>
        <w:autoSpaceDE w:val="0"/>
        <w:autoSpaceDN w:val="0"/>
        <w:adjustRightInd w:val="0"/>
        <w:spacing w:after="0" w:line="360" w:lineRule="auto"/>
        <w:jc w:val="both"/>
        <w:rPr>
          <w:rFonts w:asciiTheme="majorBidi" w:eastAsia="Times New Roman" w:hAnsiTheme="majorBidi" w:cstheme="majorBidi"/>
          <w:sz w:val="24"/>
          <w:szCs w:val="24"/>
        </w:rPr>
      </w:pPr>
      <w:r w:rsidRPr="007B5789">
        <w:rPr>
          <w:rFonts w:asciiTheme="majorBidi" w:eastAsia="Times New Roman" w:hAnsiTheme="majorBidi" w:cstheme="majorBidi"/>
          <w:sz w:val="24"/>
          <w:szCs w:val="24"/>
        </w:rPr>
        <w:t>L’étude de la synténie passe par l’</w:t>
      </w:r>
      <w:r w:rsidR="007B5789" w:rsidRPr="007B5789">
        <w:rPr>
          <w:rFonts w:asciiTheme="majorBidi" w:eastAsia="Times New Roman" w:hAnsiTheme="majorBidi" w:cstheme="majorBidi"/>
          <w:sz w:val="24"/>
          <w:szCs w:val="24"/>
        </w:rPr>
        <w:t>u</w:t>
      </w:r>
      <w:r w:rsidRPr="007B5789">
        <w:rPr>
          <w:rFonts w:asciiTheme="majorBidi" w:eastAsia="Times New Roman" w:hAnsiTheme="majorBidi" w:cstheme="majorBidi"/>
          <w:sz w:val="24"/>
          <w:szCs w:val="24"/>
        </w:rPr>
        <w:t>tilisation d’outils informatiques qui permettent</w:t>
      </w:r>
    </w:p>
    <w:p w:rsidR="00810431" w:rsidRPr="007B5789" w:rsidRDefault="00810431" w:rsidP="00810431">
      <w:pPr>
        <w:pStyle w:val="Paragraphedeliste"/>
        <w:widowControl w:val="0"/>
        <w:numPr>
          <w:ilvl w:val="0"/>
          <w:numId w:val="6"/>
        </w:numPr>
        <w:autoSpaceDE w:val="0"/>
        <w:autoSpaceDN w:val="0"/>
        <w:adjustRightInd w:val="0"/>
        <w:spacing w:after="0" w:line="360" w:lineRule="auto"/>
        <w:jc w:val="both"/>
        <w:rPr>
          <w:rFonts w:asciiTheme="majorBidi" w:eastAsia="Times New Roman" w:hAnsiTheme="majorBidi" w:cstheme="majorBidi"/>
          <w:sz w:val="24"/>
          <w:szCs w:val="24"/>
        </w:rPr>
      </w:pPr>
      <w:r w:rsidRPr="007B5789">
        <w:rPr>
          <w:rFonts w:asciiTheme="majorBidi" w:eastAsia="Times New Roman" w:hAnsiTheme="majorBidi" w:cstheme="majorBidi"/>
          <w:sz w:val="24"/>
          <w:szCs w:val="24"/>
        </w:rPr>
        <w:t xml:space="preserve">Des comparaisons </w:t>
      </w:r>
      <w:r w:rsidR="007B5789" w:rsidRPr="007B5789">
        <w:rPr>
          <w:rFonts w:asciiTheme="majorBidi" w:eastAsia="Times New Roman" w:hAnsiTheme="majorBidi" w:cstheme="majorBidi"/>
          <w:sz w:val="24"/>
          <w:szCs w:val="24"/>
        </w:rPr>
        <w:t>intra génomiques</w:t>
      </w:r>
    </w:p>
    <w:p w:rsidR="00810431" w:rsidRPr="007B5789" w:rsidRDefault="00810431" w:rsidP="00810431">
      <w:pPr>
        <w:pStyle w:val="Paragraphedeliste"/>
        <w:widowControl w:val="0"/>
        <w:numPr>
          <w:ilvl w:val="0"/>
          <w:numId w:val="6"/>
        </w:numPr>
        <w:autoSpaceDE w:val="0"/>
        <w:autoSpaceDN w:val="0"/>
        <w:adjustRightInd w:val="0"/>
        <w:spacing w:after="0" w:line="360" w:lineRule="auto"/>
        <w:jc w:val="both"/>
        <w:rPr>
          <w:rFonts w:asciiTheme="majorBidi" w:eastAsia="Times New Roman" w:hAnsiTheme="majorBidi" w:cstheme="majorBidi"/>
          <w:sz w:val="24"/>
          <w:szCs w:val="24"/>
        </w:rPr>
      </w:pPr>
      <w:r w:rsidRPr="007B5789">
        <w:rPr>
          <w:rFonts w:asciiTheme="majorBidi" w:eastAsia="Times New Roman" w:hAnsiTheme="majorBidi" w:cstheme="majorBidi"/>
          <w:sz w:val="24"/>
          <w:szCs w:val="24"/>
        </w:rPr>
        <w:t xml:space="preserve">Des comparaisons </w:t>
      </w:r>
      <w:r w:rsidR="007B5789" w:rsidRPr="007B5789">
        <w:rPr>
          <w:rFonts w:asciiTheme="majorBidi" w:eastAsia="Times New Roman" w:hAnsiTheme="majorBidi" w:cstheme="majorBidi"/>
          <w:sz w:val="24"/>
          <w:szCs w:val="24"/>
        </w:rPr>
        <w:t>inter génomiques</w:t>
      </w:r>
      <w:r w:rsidRPr="007B5789">
        <w:rPr>
          <w:rFonts w:asciiTheme="majorBidi" w:eastAsia="Times New Roman" w:hAnsiTheme="majorBidi" w:cstheme="majorBidi"/>
          <w:sz w:val="24"/>
          <w:szCs w:val="24"/>
        </w:rPr>
        <w:t xml:space="preserve"> (séquences de génomes proches)</w:t>
      </w:r>
    </w:p>
    <w:p w:rsidR="00810431" w:rsidRDefault="00810431" w:rsidP="00810431">
      <w:pPr>
        <w:pStyle w:val="Paragraphedeliste"/>
        <w:widowControl w:val="0"/>
        <w:numPr>
          <w:ilvl w:val="0"/>
          <w:numId w:val="6"/>
        </w:numPr>
        <w:autoSpaceDE w:val="0"/>
        <w:autoSpaceDN w:val="0"/>
        <w:adjustRightInd w:val="0"/>
        <w:spacing w:after="0" w:line="360" w:lineRule="auto"/>
        <w:jc w:val="both"/>
        <w:rPr>
          <w:rFonts w:asciiTheme="majorBidi" w:eastAsia="Times New Roman" w:hAnsiTheme="majorBidi" w:cstheme="majorBidi"/>
          <w:sz w:val="24"/>
          <w:szCs w:val="24"/>
        </w:rPr>
      </w:pPr>
      <w:r w:rsidRPr="007B5789">
        <w:rPr>
          <w:rFonts w:asciiTheme="majorBidi" w:eastAsia="Times New Roman" w:hAnsiTheme="majorBidi" w:cstheme="majorBidi"/>
          <w:sz w:val="24"/>
          <w:szCs w:val="24"/>
        </w:rPr>
        <w:t xml:space="preserve">Une </w:t>
      </w:r>
      <w:r w:rsidR="007B5789" w:rsidRPr="007B5789">
        <w:rPr>
          <w:rFonts w:asciiTheme="majorBidi" w:eastAsia="Times New Roman" w:hAnsiTheme="majorBidi" w:cstheme="majorBidi"/>
          <w:sz w:val="24"/>
          <w:szCs w:val="24"/>
        </w:rPr>
        <w:t>visualisation</w:t>
      </w:r>
      <w:r w:rsidRPr="007B5789">
        <w:rPr>
          <w:rFonts w:asciiTheme="majorBidi" w:eastAsia="Times New Roman" w:hAnsiTheme="majorBidi" w:cstheme="majorBidi"/>
          <w:sz w:val="24"/>
          <w:szCs w:val="24"/>
        </w:rPr>
        <w:t xml:space="preserve"> des </w:t>
      </w:r>
      <w:r w:rsidR="007B5789" w:rsidRPr="007B5789">
        <w:rPr>
          <w:rFonts w:asciiTheme="majorBidi" w:eastAsia="Times New Roman" w:hAnsiTheme="majorBidi" w:cstheme="majorBidi"/>
          <w:sz w:val="24"/>
          <w:szCs w:val="24"/>
        </w:rPr>
        <w:t>alignements</w:t>
      </w:r>
    </w:p>
    <w:p w:rsidR="007B5789" w:rsidRPr="007B5789" w:rsidRDefault="007B5789" w:rsidP="007B5789">
      <w:pPr>
        <w:widowControl w:val="0"/>
        <w:autoSpaceDE w:val="0"/>
        <w:autoSpaceDN w:val="0"/>
        <w:adjustRightInd w:val="0"/>
        <w:spacing w:after="0" w:line="360" w:lineRule="auto"/>
        <w:jc w:val="both"/>
        <w:rPr>
          <w:rFonts w:asciiTheme="majorBidi" w:eastAsia="Times New Roman" w:hAnsiTheme="majorBidi" w:cstheme="majorBidi"/>
          <w:b/>
          <w:bCs/>
          <w:sz w:val="24"/>
          <w:szCs w:val="24"/>
        </w:rPr>
      </w:pPr>
      <w:r w:rsidRPr="007B5789">
        <w:rPr>
          <w:rFonts w:asciiTheme="majorBidi" w:eastAsia="Times New Roman" w:hAnsiTheme="majorBidi" w:cstheme="majorBidi"/>
          <w:b/>
          <w:bCs/>
          <w:sz w:val="24"/>
          <w:szCs w:val="24"/>
        </w:rPr>
        <w:t>5-3 La synténie comme aide à l’annotation</w:t>
      </w:r>
    </w:p>
    <w:p w:rsidR="00675BDC" w:rsidRDefault="007B5789" w:rsidP="00675BDC">
      <w:pPr>
        <w:widowControl w:val="0"/>
        <w:autoSpaceDE w:val="0"/>
        <w:autoSpaceDN w:val="0"/>
        <w:adjustRightInd w:val="0"/>
        <w:spacing w:after="0"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Les recherches en génétique (génétique inverse, mutagénétique aléatoire) et les tests physiologiques, biochimique, immunologiques, etc., menés depuis prés d’un siècle sur des animaux modèles comme la souris et le rat ont permis l’élucidation de la fonction d’un certain nombre de gène ces travaux ne sont pas transposables chez l’homme en recherchant des blocs de synténie entre les génomes des animaux modèles et de l’homme (par exemple, il y’a plusieurs dizaines de blocs de synténie conservés entre la souris et l’homme), on facilite l’identification de gènes orthologues entre les deux espèces et donc l’annotation fonctionnelle du génome humain</w:t>
      </w:r>
      <w:r w:rsidR="00675BDC">
        <w:rPr>
          <w:rFonts w:asciiTheme="majorBidi" w:eastAsia="Times New Roman" w:hAnsiTheme="majorBidi" w:cstheme="majorBidi"/>
          <w:sz w:val="24"/>
          <w:szCs w:val="24"/>
        </w:rPr>
        <w:t>.</w:t>
      </w:r>
    </w:p>
    <w:p w:rsidR="007B5789" w:rsidRDefault="00675BDC" w:rsidP="00675BDC">
      <w:pPr>
        <w:widowControl w:val="0"/>
        <w:autoSpaceDE w:val="0"/>
        <w:autoSpaceDN w:val="0"/>
        <w:adjustRightInd w:val="0"/>
        <w:spacing w:after="0" w:line="360" w:lineRule="auto"/>
        <w:jc w:val="both"/>
        <w:rPr>
          <w:rFonts w:asciiTheme="majorBidi" w:eastAsia="Times New Roman" w:hAnsiTheme="majorBidi" w:cstheme="majorBidi"/>
          <w:b/>
          <w:bCs/>
          <w:sz w:val="24"/>
          <w:szCs w:val="24"/>
        </w:rPr>
      </w:pPr>
      <w:r w:rsidRPr="00675BDC">
        <w:rPr>
          <w:rFonts w:asciiTheme="majorBidi" w:eastAsia="Times New Roman" w:hAnsiTheme="majorBidi" w:cstheme="majorBidi"/>
          <w:b/>
          <w:bCs/>
          <w:sz w:val="24"/>
          <w:szCs w:val="24"/>
        </w:rPr>
        <w:t>5-4 la synténie comme marqueur d’événements chromosomiques</w:t>
      </w:r>
    </w:p>
    <w:p w:rsidR="00675BDC" w:rsidRDefault="00675BDC" w:rsidP="00675BDC">
      <w:pPr>
        <w:widowControl w:val="0"/>
        <w:autoSpaceDE w:val="0"/>
        <w:autoSpaceDN w:val="0"/>
        <w:adjustRightInd w:val="0"/>
        <w:spacing w:after="0"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Le degré de synténie est inversement proportionnel au temps écoulé depuis la divergence à partir du génome ancestral. Les moteurs de cette divergence sont les remaniements génomiques de différentes natures :</w:t>
      </w:r>
    </w:p>
    <w:p w:rsidR="00675BDC" w:rsidRDefault="00675BDC" w:rsidP="00675BDC">
      <w:pPr>
        <w:pStyle w:val="Paragraphedeliste"/>
        <w:widowControl w:val="0"/>
        <w:numPr>
          <w:ilvl w:val="0"/>
          <w:numId w:val="4"/>
        </w:numPr>
        <w:autoSpaceDE w:val="0"/>
        <w:autoSpaceDN w:val="0"/>
        <w:adjustRightInd w:val="0"/>
        <w:spacing w:after="0"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Fusions chromosomiques</w:t>
      </w:r>
    </w:p>
    <w:p w:rsidR="00675BDC" w:rsidRDefault="00675BDC" w:rsidP="00675BDC">
      <w:pPr>
        <w:pStyle w:val="Paragraphedeliste"/>
        <w:widowControl w:val="0"/>
        <w:numPr>
          <w:ilvl w:val="0"/>
          <w:numId w:val="4"/>
        </w:numPr>
        <w:autoSpaceDE w:val="0"/>
        <w:autoSpaceDN w:val="0"/>
        <w:adjustRightInd w:val="0"/>
        <w:spacing w:after="0"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Cassures chromosomiques (échange de segments de séquences entre des chromosomes différents)</w:t>
      </w:r>
    </w:p>
    <w:p w:rsidR="00675BDC" w:rsidRDefault="00675BDC" w:rsidP="00675BDC">
      <w:pPr>
        <w:pStyle w:val="Paragraphedeliste"/>
        <w:widowControl w:val="0"/>
        <w:numPr>
          <w:ilvl w:val="0"/>
          <w:numId w:val="4"/>
        </w:numPr>
        <w:autoSpaceDE w:val="0"/>
        <w:autoSpaceDN w:val="0"/>
        <w:adjustRightInd w:val="0"/>
        <w:spacing w:after="0"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Inversions chromosomiques</w:t>
      </w:r>
    </w:p>
    <w:p w:rsidR="00675BDC" w:rsidRDefault="00675BDC" w:rsidP="00675BDC">
      <w:pPr>
        <w:pStyle w:val="Paragraphedeliste"/>
        <w:widowControl w:val="0"/>
        <w:numPr>
          <w:ilvl w:val="0"/>
          <w:numId w:val="4"/>
        </w:numPr>
        <w:autoSpaceDE w:val="0"/>
        <w:autoSpaceDN w:val="0"/>
        <w:adjustRightInd w:val="0"/>
        <w:spacing w:after="0"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Délétions (perte d’une région chromosomique)</w:t>
      </w:r>
    </w:p>
    <w:p w:rsidR="006F209E" w:rsidRDefault="00675BDC" w:rsidP="00BA0919">
      <w:pPr>
        <w:pStyle w:val="Paragraphedeliste"/>
        <w:widowControl w:val="0"/>
        <w:numPr>
          <w:ilvl w:val="0"/>
          <w:numId w:val="4"/>
        </w:numPr>
        <w:autoSpaceDE w:val="0"/>
        <w:autoSpaceDN w:val="0"/>
        <w:adjustRightInd w:val="0"/>
        <w:spacing w:after="0"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Duplication d’une région chromosomique</w:t>
      </w:r>
    </w:p>
    <w:p w:rsidR="00BA0919" w:rsidRPr="00BA0919" w:rsidRDefault="00BA0919" w:rsidP="00BA0919">
      <w:pPr>
        <w:widowControl w:val="0"/>
        <w:autoSpaceDE w:val="0"/>
        <w:autoSpaceDN w:val="0"/>
        <w:adjustRightInd w:val="0"/>
        <w:spacing w:after="0" w:line="360" w:lineRule="auto"/>
        <w:ind w:left="360"/>
        <w:jc w:val="both"/>
        <w:rPr>
          <w:rFonts w:asciiTheme="majorBidi" w:eastAsia="Times New Roman" w:hAnsiTheme="majorBidi" w:cstheme="majorBidi"/>
          <w:sz w:val="24"/>
          <w:szCs w:val="24"/>
        </w:rPr>
      </w:pPr>
    </w:p>
    <w:p w:rsidR="006E179E" w:rsidRPr="00BA0919" w:rsidRDefault="00027EB3" w:rsidP="00BA0919">
      <w:pPr>
        <w:pStyle w:val="Paragraphedeliste"/>
        <w:widowControl w:val="0"/>
        <w:numPr>
          <w:ilvl w:val="0"/>
          <w:numId w:val="3"/>
        </w:numPr>
        <w:autoSpaceDE w:val="0"/>
        <w:autoSpaceDN w:val="0"/>
        <w:adjustRightInd w:val="0"/>
        <w:spacing w:after="0" w:line="360" w:lineRule="auto"/>
        <w:jc w:val="both"/>
        <w:rPr>
          <w:rFonts w:asciiTheme="majorBidi" w:eastAsia="Times New Roman" w:hAnsiTheme="majorBidi" w:cstheme="majorBidi"/>
          <w:b/>
          <w:bCs/>
          <w:color w:val="000000"/>
          <w:sz w:val="24"/>
          <w:szCs w:val="24"/>
        </w:rPr>
      </w:pPr>
      <w:r w:rsidRPr="00BA0919">
        <w:rPr>
          <w:rFonts w:asciiTheme="majorBidi" w:eastAsia="Times New Roman" w:hAnsiTheme="majorBidi" w:cstheme="majorBidi"/>
          <w:b/>
          <w:bCs/>
          <w:color w:val="000000"/>
          <w:sz w:val="24"/>
          <w:szCs w:val="24"/>
        </w:rPr>
        <w:t xml:space="preserve"> </w:t>
      </w:r>
      <w:r w:rsidR="009E6C31" w:rsidRPr="00BA0919">
        <w:rPr>
          <w:rFonts w:asciiTheme="majorBidi" w:eastAsia="Times New Roman" w:hAnsiTheme="majorBidi" w:cstheme="majorBidi"/>
          <w:b/>
          <w:bCs/>
          <w:color w:val="000000"/>
          <w:sz w:val="24"/>
          <w:szCs w:val="24"/>
        </w:rPr>
        <w:t>La comparaison de l’organisation chromosomique:(</w:t>
      </w:r>
      <w:r w:rsidR="00BA0919">
        <w:rPr>
          <w:rFonts w:asciiTheme="majorBidi" w:eastAsia="Times New Roman" w:hAnsiTheme="majorBidi" w:cstheme="majorBidi"/>
          <w:b/>
          <w:bCs/>
          <w:color w:val="000000"/>
          <w:sz w:val="24"/>
          <w:szCs w:val="24"/>
        </w:rPr>
        <w:t xml:space="preserve"> </w:t>
      </w:r>
      <w:r w:rsidR="009E6C31" w:rsidRPr="00BA0919">
        <w:rPr>
          <w:rFonts w:asciiTheme="majorBidi" w:eastAsia="Times New Roman" w:hAnsiTheme="majorBidi" w:cstheme="majorBidi"/>
          <w:b/>
          <w:bCs/>
          <w:color w:val="000000"/>
          <w:sz w:val="24"/>
          <w:szCs w:val="24"/>
        </w:rPr>
        <w:t>identif</w:t>
      </w:r>
      <w:r w:rsidR="006E179E" w:rsidRPr="00BA0919">
        <w:rPr>
          <w:rFonts w:asciiTheme="majorBidi" w:eastAsia="Times New Roman" w:hAnsiTheme="majorBidi" w:cstheme="majorBidi"/>
          <w:b/>
          <w:bCs/>
          <w:color w:val="000000"/>
          <w:sz w:val="24"/>
          <w:szCs w:val="24"/>
        </w:rPr>
        <w:t>ication des relations d'homologu</w:t>
      </w:r>
      <w:r w:rsidR="00BA0919">
        <w:rPr>
          <w:rFonts w:asciiTheme="majorBidi" w:eastAsia="Times New Roman" w:hAnsiTheme="majorBidi" w:cstheme="majorBidi"/>
          <w:b/>
          <w:bCs/>
          <w:color w:val="000000"/>
          <w:sz w:val="24"/>
          <w:szCs w:val="24"/>
        </w:rPr>
        <w:t>e entre génomes)</w:t>
      </w:r>
      <w:r w:rsidR="009E6C31" w:rsidRPr="00BA0919">
        <w:rPr>
          <w:rFonts w:asciiTheme="majorBidi" w:eastAsia="Times New Roman" w:hAnsiTheme="majorBidi" w:cstheme="majorBidi"/>
          <w:b/>
          <w:bCs/>
          <w:color w:val="000000"/>
          <w:sz w:val="24"/>
          <w:szCs w:val="24"/>
        </w:rPr>
        <w:t xml:space="preserve"> </w:t>
      </w:r>
    </w:p>
    <w:p w:rsidR="009E6C31" w:rsidRPr="00C35549" w:rsidRDefault="009E6C31" w:rsidP="00C35549">
      <w:pPr>
        <w:widowControl w:val="0"/>
        <w:autoSpaceDE w:val="0"/>
        <w:autoSpaceDN w:val="0"/>
        <w:adjustRightInd w:val="0"/>
        <w:spacing w:after="0" w:line="360" w:lineRule="auto"/>
        <w:jc w:val="both"/>
        <w:rPr>
          <w:rFonts w:asciiTheme="majorBidi" w:eastAsia="Times New Roman" w:hAnsiTheme="majorBidi" w:cstheme="majorBidi"/>
          <w:color w:val="000000"/>
          <w:sz w:val="24"/>
          <w:szCs w:val="24"/>
        </w:rPr>
      </w:pPr>
      <w:r w:rsidRPr="00C35549">
        <w:rPr>
          <w:rFonts w:asciiTheme="majorBidi" w:eastAsia="Times New Roman" w:hAnsiTheme="majorBidi" w:cstheme="majorBidi"/>
          <w:color w:val="000000"/>
          <w:sz w:val="24"/>
          <w:szCs w:val="24"/>
        </w:rPr>
        <w:t>Il existe plusieurs méthodes pour comprendre les relations d'homologue et l</w:t>
      </w:r>
      <w:r w:rsidR="006E179E" w:rsidRPr="00C35549">
        <w:rPr>
          <w:rFonts w:asciiTheme="majorBidi" w:eastAsia="Times New Roman" w:hAnsiTheme="majorBidi" w:cstheme="majorBidi"/>
          <w:color w:val="000000"/>
          <w:sz w:val="24"/>
          <w:szCs w:val="24"/>
        </w:rPr>
        <w:t>a comparaison entre les génomes</w:t>
      </w:r>
      <w:r w:rsidRPr="00C35549">
        <w:rPr>
          <w:rFonts w:asciiTheme="majorBidi" w:eastAsia="Times New Roman" w:hAnsiTheme="majorBidi" w:cstheme="majorBidi"/>
          <w:color w:val="000000"/>
          <w:sz w:val="24"/>
          <w:szCs w:val="24"/>
        </w:rPr>
        <w:t>, et cela à l'aide d'un outil bioinformatique.</w:t>
      </w:r>
    </w:p>
    <w:p w:rsidR="006E179E" w:rsidRPr="00C35549" w:rsidRDefault="009E6C31" w:rsidP="001277ED">
      <w:pPr>
        <w:widowControl w:val="0"/>
        <w:autoSpaceDE w:val="0"/>
        <w:autoSpaceDN w:val="0"/>
        <w:adjustRightInd w:val="0"/>
        <w:spacing w:after="0" w:line="360" w:lineRule="auto"/>
        <w:jc w:val="both"/>
        <w:rPr>
          <w:rFonts w:asciiTheme="majorBidi" w:eastAsia="Times New Roman" w:hAnsiTheme="majorBidi" w:cstheme="majorBidi"/>
          <w:sz w:val="24"/>
          <w:szCs w:val="24"/>
        </w:rPr>
      </w:pPr>
      <w:r w:rsidRPr="00C35549">
        <w:rPr>
          <w:rFonts w:asciiTheme="majorBidi" w:eastAsia="Times New Roman" w:hAnsiTheme="majorBidi" w:cstheme="majorBidi"/>
          <w:b/>
          <w:bCs/>
          <w:color w:val="000000"/>
          <w:sz w:val="24"/>
          <w:szCs w:val="24"/>
        </w:rPr>
        <w:t>1</w:t>
      </w:r>
      <w:r w:rsidR="00EF75F1" w:rsidRPr="00C35549">
        <w:rPr>
          <w:rFonts w:asciiTheme="majorBidi" w:eastAsia="Times New Roman" w:hAnsiTheme="majorBidi" w:cstheme="majorBidi"/>
          <w:b/>
          <w:bCs/>
          <w:color w:val="000000"/>
          <w:sz w:val="24"/>
          <w:szCs w:val="24"/>
        </w:rPr>
        <w:t>-</w:t>
      </w:r>
      <w:r w:rsidRPr="00C35549">
        <w:rPr>
          <w:rFonts w:asciiTheme="majorBidi" w:eastAsia="Times New Roman" w:hAnsiTheme="majorBidi" w:cstheme="majorBidi"/>
          <w:b/>
          <w:bCs/>
          <w:color w:val="000000"/>
          <w:sz w:val="24"/>
          <w:szCs w:val="24"/>
        </w:rPr>
        <w:t xml:space="preserve">La bioinformatique: </w:t>
      </w:r>
      <w:r w:rsidRPr="00C35549">
        <w:rPr>
          <w:rFonts w:asciiTheme="majorBidi" w:eastAsia="Times New Roman" w:hAnsiTheme="majorBidi" w:cstheme="majorBidi"/>
          <w:color w:val="000000"/>
          <w:sz w:val="24"/>
          <w:szCs w:val="24"/>
        </w:rPr>
        <w:t xml:space="preserve">La bioinformatique est une composante essentielle de la génomique comparative à la fois pour le développement de bases de données, les développements méthodologiques (algorithmique et représentation des résultats) mais aussi pour la réalisation d'analyses fines. </w:t>
      </w:r>
      <w:r w:rsidR="006E179E" w:rsidRPr="00C35549">
        <w:rPr>
          <w:rFonts w:asciiTheme="majorBidi" w:eastAsia="Times New Roman" w:hAnsiTheme="majorBidi" w:cstheme="majorBidi"/>
          <w:color w:val="000000"/>
          <w:sz w:val="24"/>
          <w:szCs w:val="24"/>
        </w:rPr>
        <w:t>Dans</w:t>
      </w:r>
      <w:r w:rsidRPr="00C35549">
        <w:rPr>
          <w:rFonts w:asciiTheme="majorBidi" w:eastAsia="Times New Roman" w:hAnsiTheme="majorBidi" w:cstheme="majorBidi"/>
          <w:color w:val="000000"/>
          <w:sz w:val="24"/>
          <w:szCs w:val="24"/>
        </w:rPr>
        <w:t xml:space="preserve"> ce do</w:t>
      </w:r>
      <w:r w:rsidR="006E179E" w:rsidRPr="00C35549">
        <w:rPr>
          <w:rFonts w:asciiTheme="majorBidi" w:eastAsia="Times New Roman" w:hAnsiTheme="majorBidi" w:cstheme="majorBidi"/>
          <w:color w:val="000000"/>
          <w:sz w:val="24"/>
          <w:szCs w:val="24"/>
        </w:rPr>
        <w:t>maine on utilise le serveur web</w:t>
      </w:r>
      <w:r w:rsidRPr="00C35549">
        <w:rPr>
          <w:rFonts w:asciiTheme="majorBidi" w:eastAsia="Times New Roman" w:hAnsiTheme="majorBidi" w:cstheme="majorBidi"/>
          <w:color w:val="000000"/>
          <w:sz w:val="24"/>
          <w:szCs w:val="24"/>
        </w:rPr>
        <w:t xml:space="preserve">, leur architecture est divisée en 3 niveaux: </w:t>
      </w:r>
      <w:r w:rsidRPr="00C35549">
        <w:rPr>
          <w:rFonts w:asciiTheme="majorBidi" w:eastAsia="Times New Roman" w:hAnsiTheme="majorBidi" w:cstheme="majorBidi"/>
          <w:sz w:val="24"/>
          <w:szCs w:val="24"/>
        </w:rPr>
        <w:t xml:space="preserve">la base de données relationnelle contenant les informations génomiques, </w:t>
      </w:r>
      <w:r w:rsidRPr="00C35549">
        <w:rPr>
          <w:rFonts w:asciiTheme="majorBidi" w:eastAsia="Times New Roman" w:hAnsiTheme="majorBidi" w:cstheme="majorBidi"/>
          <w:sz w:val="24"/>
          <w:szCs w:val="24"/>
        </w:rPr>
        <w:lastRenderedPageBreak/>
        <w:t>l’application chargée du calcul d</w:t>
      </w:r>
      <w:r w:rsidR="006E179E" w:rsidRPr="00C35549">
        <w:rPr>
          <w:rFonts w:asciiTheme="majorBidi" w:eastAsia="Times New Roman" w:hAnsiTheme="majorBidi" w:cstheme="majorBidi"/>
          <w:sz w:val="24"/>
          <w:szCs w:val="24"/>
        </w:rPr>
        <w:t xml:space="preserve">es groupes de synténie, </w:t>
      </w:r>
      <w:r w:rsidRPr="00C35549">
        <w:rPr>
          <w:rFonts w:asciiTheme="majorBidi" w:eastAsia="Times New Roman" w:hAnsiTheme="majorBidi" w:cstheme="majorBidi"/>
          <w:sz w:val="24"/>
          <w:szCs w:val="24"/>
        </w:rPr>
        <w:t xml:space="preserve"> et une série d’interfaces web dédiées à l’exploration des résultats.</w:t>
      </w:r>
    </w:p>
    <w:p w:rsidR="006E179E" w:rsidRPr="00C35549" w:rsidRDefault="006E179E" w:rsidP="001277ED">
      <w:pPr>
        <w:widowControl w:val="0"/>
        <w:autoSpaceDE w:val="0"/>
        <w:autoSpaceDN w:val="0"/>
        <w:adjustRightInd w:val="0"/>
        <w:spacing w:after="0" w:line="360" w:lineRule="auto"/>
        <w:jc w:val="both"/>
        <w:rPr>
          <w:rFonts w:asciiTheme="majorBidi" w:hAnsiTheme="majorBidi" w:cstheme="majorBidi"/>
          <w:b/>
          <w:bCs/>
          <w:color w:val="000000"/>
          <w:sz w:val="24"/>
          <w:szCs w:val="24"/>
        </w:rPr>
      </w:pPr>
      <w:r w:rsidRPr="00C35549">
        <w:rPr>
          <w:rFonts w:asciiTheme="majorBidi" w:hAnsiTheme="majorBidi" w:cstheme="majorBidi"/>
          <w:b/>
          <w:bCs/>
          <w:sz w:val="24"/>
          <w:szCs w:val="24"/>
        </w:rPr>
        <w:t>2</w:t>
      </w:r>
      <w:r w:rsidR="00EF75F1" w:rsidRPr="00C35549">
        <w:rPr>
          <w:rFonts w:asciiTheme="majorBidi" w:hAnsiTheme="majorBidi" w:cstheme="majorBidi"/>
          <w:b/>
          <w:bCs/>
          <w:sz w:val="24"/>
          <w:szCs w:val="24"/>
        </w:rPr>
        <w:t>-</w:t>
      </w:r>
      <w:r w:rsidRPr="00C35549">
        <w:rPr>
          <w:rFonts w:asciiTheme="majorBidi" w:hAnsiTheme="majorBidi" w:cstheme="majorBidi"/>
          <w:b/>
          <w:bCs/>
          <w:sz w:val="24"/>
          <w:szCs w:val="24"/>
        </w:rPr>
        <w:t xml:space="preserve"> Quelques méthodes de comparaison</w:t>
      </w:r>
      <w:r w:rsidR="001277ED" w:rsidRPr="00C35549">
        <w:rPr>
          <w:rFonts w:asciiTheme="majorBidi" w:hAnsiTheme="majorBidi" w:cstheme="majorBidi"/>
          <w:b/>
          <w:bCs/>
          <w:color w:val="000000"/>
          <w:sz w:val="24"/>
          <w:szCs w:val="24"/>
        </w:rPr>
        <w:t xml:space="preserve"> </w:t>
      </w:r>
    </w:p>
    <w:p w:rsidR="006E179E" w:rsidRPr="00C35549" w:rsidRDefault="00027EB3" w:rsidP="00C35549">
      <w:pPr>
        <w:widowControl w:val="0"/>
        <w:autoSpaceDE w:val="0"/>
        <w:autoSpaceDN w:val="0"/>
        <w:adjustRightInd w:val="0"/>
        <w:spacing w:after="0" w:line="360" w:lineRule="auto"/>
        <w:jc w:val="both"/>
        <w:rPr>
          <w:rFonts w:asciiTheme="majorBidi" w:hAnsiTheme="majorBidi" w:cstheme="majorBidi"/>
          <w:b/>
          <w:bCs/>
          <w:sz w:val="24"/>
          <w:szCs w:val="24"/>
        </w:rPr>
      </w:pPr>
      <w:r w:rsidRPr="00C35549">
        <w:rPr>
          <w:rFonts w:asciiTheme="majorBidi" w:hAnsiTheme="majorBidi" w:cstheme="majorBidi"/>
          <w:b/>
          <w:bCs/>
          <w:color w:val="000000"/>
          <w:sz w:val="24"/>
          <w:szCs w:val="24"/>
        </w:rPr>
        <w:t>a</w:t>
      </w:r>
      <w:r w:rsidR="006E179E" w:rsidRPr="00C35549">
        <w:rPr>
          <w:rFonts w:asciiTheme="majorBidi" w:hAnsiTheme="majorBidi" w:cstheme="majorBidi"/>
          <w:b/>
          <w:bCs/>
          <w:color w:val="000000"/>
          <w:sz w:val="24"/>
          <w:szCs w:val="24"/>
        </w:rPr>
        <w:t xml:space="preserve">. </w:t>
      </w:r>
      <w:r w:rsidR="006E179E" w:rsidRPr="00C35549">
        <w:rPr>
          <w:rFonts w:asciiTheme="majorBidi" w:hAnsiTheme="majorBidi" w:cstheme="majorBidi"/>
          <w:b/>
          <w:bCs/>
          <w:sz w:val="24"/>
          <w:szCs w:val="24"/>
        </w:rPr>
        <w:t>L’ali</w:t>
      </w:r>
      <w:r w:rsidR="001277ED">
        <w:rPr>
          <w:rFonts w:asciiTheme="majorBidi" w:hAnsiTheme="majorBidi" w:cstheme="majorBidi"/>
          <w:b/>
          <w:bCs/>
          <w:sz w:val="24"/>
          <w:szCs w:val="24"/>
        </w:rPr>
        <w:t>gnement réciproque de séquences</w:t>
      </w:r>
    </w:p>
    <w:p w:rsidR="006E179E" w:rsidRPr="00C35549" w:rsidRDefault="006E179E" w:rsidP="00C35549">
      <w:pPr>
        <w:widowControl w:val="0"/>
        <w:autoSpaceDE w:val="0"/>
        <w:autoSpaceDN w:val="0"/>
        <w:adjustRightInd w:val="0"/>
        <w:spacing w:after="0" w:line="360" w:lineRule="auto"/>
        <w:jc w:val="both"/>
        <w:rPr>
          <w:rFonts w:asciiTheme="majorBidi" w:hAnsiTheme="majorBidi" w:cstheme="majorBidi"/>
          <w:sz w:val="24"/>
          <w:szCs w:val="24"/>
        </w:rPr>
      </w:pPr>
      <w:r w:rsidRPr="00C35549">
        <w:rPr>
          <w:rFonts w:asciiTheme="majorBidi" w:hAnsiTheme="majorBidi" w:cstheme="majorBidi"/>
          <w:sz w:val="24"/>
          <w:szCs w:val="24"/>
        </w:rPr>
        <w:t>La méthode la plus généralement utilisée consiste à réaliser des alignements de séquences réciproques entre deux génomes (méthode du “Best Bidirectional Hits” (BBH) ou “meilleurs alignements réciproques”). L’idée sous-jacente de la méthode implique que les séquences de gènes orthologues présentent plus de similitudes entre elles que de similitudes avec une séquence du génome initial.</w:t>
      </w:r>
    </w:p>
    <w:p w:rsidR="006E179E" w:rsidRPr="00C35549" w:rsidRDefault="006E179E" w:rsidP="00C35549">
      <w:pPr>
        <w:widowControl w:val="0"/>
        <w:autoSpaceDE w:val="0"/>
        <w:autoSpaceDN w:val="0"/>
        <w:adjustRightInd w:val="0"/>
        <w:spacing w:after="0" w:line="360" w:lineRule="auto"/>
        <w:jc w:val="both"/>
        <w:rPr>
          <w:rFonts w:asciiTheme="majorBidi" w:hAnsiTheme="majorBidi" w:cstheme="majorBidi"/>
          <w:sz w:val="24"/>
          <w:szCs w:val="24"/>
        </w:rPr>
      </w:pPr>
    </w:p>
    <w:p w:rsidR="006E179E" w:rsidRPr="00C35549" w:rsidRDefault="006E179E" w:rsidP="00C35549">
      <w:pPr>
        <w:widowControl w:val="0"/>
        <w:autoSpaceDE w:val="0"/>
        <w:autoSpaceDN w:val="0"/>
        <w:adjustRightInd w:val="0"/>
        <w:spacing w:after="0" w:line="360" w:lineRule="auto"/>
        <w:jc w:val="center"/>
        <w:rPr>
          <w:rFonts w:asciiTheme="majorBidi" w:hAnsiTheme="majorBidi" w:cstheme="majorBidi"/>
          <w:sz w:val="24"/>
          <w:szCs w:val="24"/>
        </w:rPr>
      </w:pPr>
      <w:r w:rsidRPr="00C35549">
        <w:rPr>
          <w:rFonts w:asciiTheme="majorBidi" w:hAnsiTheme="majorBidi" w:cstheme="majorBidi"/>
          <w:noProof/>
          <w:sz w:val="24"/>
          <w:szCs w:val="24"/>
        </w:rPr>
        <w:drawing>
          <wp:inline distT="0" distB="0" distL="0" distR="0">
            <wp:extent cx="4941570" cy="2587625"/>
            <wp:effectExtent l="0" t="0" r="0"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41570" cy="2587625"/>
                    </a:xfrm>
                    <a:prstGeom prst="rect">
                      <a:avLst/>
                    </a:prstGeom>
                    <a:noFill/>
                    <a:ln>
                      <a:noFill/>
                    </a:ln>
                  </pic:spPr>
                </pic:pic>
              </a:graphicData>
            </a:graphic>
          </wp:inline>
        </w:drawing>
      </w:r>
    </w:p>
    <w:p w:rsidR="006E179E" w:rsidRPr="00C35549" w:rsidRDefault="006E179E" w:rsidP="00C35549">
      <w:pPr>
        <w:widowControl w:val="0"/>
        <w:autoSpaceDE w:val="0"/>
        <w:autoSpaceDN w:val="0"/>
        <w:adjustRightInd w:val="0"/>
        <w:spacing w:after="0" w:line="360" w:lineRule="auto"/>
        <w:jc w:val="both"/>
        <w:rPr>
          <w:rFonts w:asciiTheme="majorBidi" w:hAnsiTheme="majorBidi" w:cstheme="majorBidi"/>
          <w:b/>
          <w:bCs/>
          <w:color w:val="000000"/>
          <w:sz w:val="24"/>
          <w:szCs w:val="24"/>
        </w:rPr>
      </w:pPr>
    </w:p>
    <w:p w:rsidR="006E179E" w:rsidRPr="00C35549" w:rsidRDefault="006E179E" w:rsidP="00C35549">
      <w:pPr>
        <w:widowControl w:val="0"/>
        <w:autoSpaceDE w:val="0"/>
        <w:autoSpaceDN w:val="0"/>
        <w:adjustRightInd w:val="0"/>
        <w:spacing w:after="0" w:line="360" w:lineRule="auto"/>
        <w:jc w:val="both"/>
        <w:rPr>
          <w:rFonts w:asciiTheme="majorBidi" w:hAnsiTheme="majorBidi" w:cstheme="majorBidi"/>
          <w:sz w:val="24"/>
          <w:szCs w:val="24"/>
        </w:rPr>
      </w:pPr>
      <w:r w:rsidRPr="00C35549">
        <w:rPr>
          <w:rFonts w:asciiTheme="majorBidi" w:hAnsiTheme="majorBidi" w:cstheme="majorBidi"/>
          <w:b/>
          <w:bCs/>
          <w:color w:val="000000"/>
          <w:sz w:val="24"/>
          <w:szCs w:val="24"/>
        </w:rPr>
        <w:t xml:space="preserve">Fig: </w:t>
      </w:r>
      <w:r w:rsidRPr="00C35549">
        <w:rPr>
          <w:rFonts w:asciiTheme="majorBidi" w:hAnsiTheme="majorBidi" w:cstheme="majorBidi"/>
          <w:sz w:val="24"/>
          <w:szCs w:val="24"/>
        </w:rPr>
        <w:t>Le principe du BLAST réciproque entre deux génomes de deux espèces SA et SB.</w:t>
      </w:r>
    </w:p>
    <w:p w:rsidR="006E179E" w:rsidRPr="00C35549" w:rsidRDefault="006E179E" w:rsidP="001277ED">
      <w:pPr>
        <w:widowControl w:val="0"/>
        <w:autoSpaceDE w:val="0"/>
        <w:autoSpaceDN w:val="0"/>
        <w:adjustRightInd w:val="0"/>
        <w:spacing w:after="0" w:line="360" w:lineRule="auto"/>
        <w:jc w:val="both"/>
        <w:rPr>
          <w:rFonts w:asciiTheme="majorBidi" w:hAnsiTheme="majorBidi" w:cstheme="majorBidi"/>
          <w:sz w:val="24"/>
          <w:szCs w:val="24"/>
        </w:rPr>
      </w:pPr>
      <w:r w:rsidRPr="00C35549">
        <w:rPr>
          <w:rFonts w:asciiTheme="majorBidi" w:hAnsiTheme="majorBidi" w:cstheme="majorBidi"/>
          <w:sz w:val="24"/>
          <w:szCs w:val="24"/>
        </w:rPr>
        <w:t>Les gènes orthologues réciproques identifiés par la méthode sont symbolisés par les triangles blancs.</w:t>
      </w:r>
    </w:p>
    <w:p w:rsidR="006E179E" w:rsidRPr="00C35549" w:rsidRDefault="006E179E" w:rsidP="001277ED">
      <w:pPr>
        <w:widowControl w:val="0"/>
        <w:autoSpaceDE w:val="0"/>
        <w:autoSpaceDN w:val="0"/>
        <w:adjustRightInd w:val="0"/>
        <w:spacing w:after="0" w:line="360" w:lineRule="auto"/>
        <w:jc w:val="both"/>
        <w:rPr>
          <w:rFonts w:asciiTheme="majorBidi" w:hAnsiTheme="majorBidi" w:cstheme="majorBidi"/>
          <w:sz w:val="24"/>
          <w:szCs w:val="24"/>
        </w:rPr>
      </w:pPr>
      <w:r w:rsidRPr="00C35549">
        <w:rPr>
          <w:rFonts w:asciiTheme="majorBidi" w:hAnsiTheme="majorBidi" w:cstheme="majorBidi"/>
          <w:sz w:val="24"/>
          <w:szCs w:val="24"/>
        </w:rPr>
        <w:t>Dans cette figure deux gènes A et B, appartenant respectivement aux espèces SA et SB, seront considérés orthologues si le meilleur alignement de la séquence du gène A sur le génome SB correspond au gène B et, réciproquement, si le meilleur alignement de la séquence du gène B sur le génome SA correspond au gène A</w:t>
      </w:r>
    </w:p>
    <w:p w:rsidR="006E179E" w:rsidRPr="001277ED" w:rsidRDefault="00027EB3" w:rsidP="001277ED">
      <w:pPr>
        <w:widowControl w:val="0"/>
        <w:autoSpaceDE w:val="0"/>
        <w:autoSpaceDN w:val="0"/>
        <w:adjustRightInd w:val="0"/>
        <w:spacing w:after="0" w:line="360" w:lineRule="auto"/>
        <w:jc w:val="both"/>
        <w:rPr>
          <w:rFonts w:asciiTheme="majorBidi" w:hAnsiTheme="majorBidi" w:cstheme="majorBidi"/>
          <w:b/>
          <w:bCs/>
          <w:sz w:val="24"/>
          <w:szCs w:val="24"/>
        </w:rPr>
      </w:pPr>
      <w:r w:rsidRPr="00C35549">
        <w:rPr>
          <w:rFonts w:asciiTheme="majorBidi" w:hAnsiTheme="majorBidi" w:cstheme="majorBidi"/>
          <w:b/>
          <w:bCs/>
          <w:sz w:val="24"/>
          <w:szCs w:val="24"/>
        </w:rPr>
        <w:t>b.</w:t>
      </w:r>
      <w:r w:rsidR="005B64E9" w:rsidRPr="00C35549">
        <w:rPr>
          <w:rFonts w:asciiTheme="majorBidi" w:hAnsiTheme="majorBidi" w:cstheme="majorBidi"/>
          <w:b/>
          <w:bCs/>
          <w:sz w:val="24"/>
          <w:szCs w:val="24"/>
        </w:rPr>
        <w:t xml:space="preserve"> La méthode</w:t>
      </w:r>
      <w:r w:rsidR="001277ED">
        <w:rPr>
          <w:rFonts w:asciiTheme="majorBidi" w:hAnsiTheme="majorBidi" w:cstheme="majorBidi"/>
          <w:b/>
          <w:bCs/>
          <w:sz w:val="24"/>
          <w:szCs w:val="24"/>
        </w:rPr>
        <w:t xml:space="preserve"> de regroupement</w:t>
      </w:r>
    </w:p>
    <w:p w:rsidR="001277ED" w:rsidRDefault="006E179E" w:rsidP="00C35549">
      <w:pPr>
        <w:widowControl w:val="0"/>
        <w:autoSpaceDE w:val="0"/>
        <w:autoSpaceDN w:val="0"/>
        <w:adjustRightInd w:val="0"/>
        <w:spacing w:after="0" w:line="360" w:lineRule="auto"/>
        <w:jc w:val="both"/>
        <w:rPr>
          <w:rFonts w:asciiTheme="majorBidi" w:hAnsiTheme="majorBidi" w:cstheme="majorBidi"/>
          <w:sz w:val="24"/>
          <w:szCs w:val="24"/>
        </w:rPr>
      </w:pPr>
      <w:r w:rsidRPr="00C35549">
        <w:rPr>
          <w:rFonts w:asciiTheme="majorBidi" w:hAnsiTheme="majorBidi" w:cstheme="majorBidi"/>
          <w:sz w:val="24"/>
          <w:szCs w:val="24"/>
        </w:rPr>
        <w:t>La méthode des “COGs” pour Cluster of Orthologous Groups” consiste à identifier, non seulement des paires de gènes orthologues</w:t>
      </w:r>
      <w:r w:rsidR="001277ED">
        <w:rPr>
          <w:rFonts w:asciiTheme="majorBidi" w:hAnsiTheme="majorBidi" w:cstheme="majorBidi"/>
          <w:sz w:val="24"/>
          <w:szCs w:val="24"/>
        </w:rPr>
        <w:t xml:space="preserve"> entre deux génomes</w:t>
      </w:r>
      <w:r w:rsidRPr="00C35549">
        <w:rPr>
          <w:rFonts w:asciiTheme="majorBidi" w:hAnsiTheme="majorBidi" w:cstheme="majorBidi"/>
          <w:sz w:val="24"/>
          <w:szCs w:val="24"/>
        </w:rPr>
        <w:t>, mais plus généralement, des groupes de gènes ortho</w:t>
      </w:r>
      <w:r w:rsidR="001277ED">
        <w:rPr>
          <w:rFonts w:asciiTheme="majorBidi" w:hAnsiTheme="majorBidi" w:cstheme="majorBidi"/>
          <w:sz w:val="24"/>
          <w:szCs w:val="24"/>
        </w:rPr>
        <w:t>logues entre plusieurs génomes selon les étapes suivantes :</w:t>
      </w:r>
    </w:p>
    <w:p w:rsidR="001277ED" w:rsidRDefault="00EF75F1" w:rsidP="001277ED">
      <w:pPr>
        <w:pStyle w:val="Paragraphedeliste"/>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w:r w:rsidRPr="001277ED">
        <w:rPr>
          <w:rFonts w:asciiTheme="majorBidi" w:hAnsiTheme="majorBidi" w:cstheme="majorBidi"/>
          <w:sz w:val="24"/>
          <w:szCs w:val="24"/>
        </w:rPr>
        <w:t>Toutes</w:t>
      </w:r>
      <w:r w:rsidR="006E179E" w:rsidRPr="001277ED">
        <w:rPr>
          <w:rFonts w:asciiTheme="majorBidi" w:hAnsiTheme="majorBidi" w:cstheme="majorBidi"/>
          <w:sz w:val="24"/>
          <w:szCs w:val="24"/>
        </w:rPr>
        <w:t xml:space="preserve"> les s</w:t>
      </w:r>
      <w:r w:rsidR="00916062" w:rsidRPr="001277ED">
        <w:rPr>
          <w:rFonts w:asciiTheme="majorBidi" w:hAnsiTheme="majorBidi" w:cstheme="majorBidi"/>
          <w:sz w:val="24"/>
          <w:szCs w:val="24"/>
        </w:rPr>
        <w:t xml:space="preserve">équences de gènes sont alignées </w:t>
      </w:r>
      <w:r w:rsidR="006E179E" w:rsidRPr="001277ED">
        <w:rPr>
          <w:rFonts w:asciiTheme="majorBidi" w:hAnsiTheme="majorBidi" w:cstheme="majorBidi"/>
          <w:sz w:val="24"/>
          <w:szCs w:val="24"/>
        </w:rPr>
        <w:t xml:space="preserve">entre les génomes considérés afin </w:t>
      </w:r>
      <w:r w:rsidR="006E179E" w:rsidRPr="001277ED">
        <w:rPr>
          <w:rFonts w:asciiTheme="majorBidi" w:hAnsiTheme="majorBidi" w:cstheme="majorBidi"/>
          <w:sz w:val="24"/>
          <w:szCs w:val="24"/>
        </w:rPr>
        <w:lastRenderedPageBreak/>
        <w:t>d’identifier l’ensemble des relations d’homologie.</w:t>
      </w:r>
    </w:p>
    <w:p w:rsidR="006E179E" w:rsidRPr="001277ED" w:rsidRDefault="006E179E" w:rsidP="001277ED">
      <w:pPr>
        <w:pStyle w:val="Paragraphedeliste"/>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w:r w:rsidRPr="001277ED">
        <w:rPr>
          <w:rFonts w:asciiTheme="majorBidi" w:hAnsiTheme="majorBidi" w:cstheme="majorBidi"/>
          <w:sz w:val="24"/>
          <w:szCs w:val="24"/>
        </w:rPr>
        <w:t xml:space="preserve"> Puis, la détection des paralogues est réalisée par des alignements de la séquence d’un gène sur son propre génome.</w:t>
      </w:r>
    </w:p>
    <w:p w:rsidR="00916062" w:rsidRPr="001277ED" w:rsidRDefault="006E179E" w:rsidP="001277ED">
      <w:pPr>
        <w:pStyle w:val="Paragraphedeliste"/>
        <w:widowControl w:val="0"/>
        <w:numPr>
          <w:ilvl w:val="0"/>
          <w:numId w:val="4"/>
        </w:numPr>
        <w:autoSpaceDE w:val="0"/>
        <w:autoSpaceDN w:val="0"/>
        <w:adjustRightInd w:val="0"/>
        <w:spacing w:after="0" w:line="360" w:lineRule="auto"/>
        <w:jc w:val="both"/>
        <w:rPr>
          <w:rFonts w:asciiTheme="majorBidi" w:hAnsiTheme="majorBidi" w:cstheme="majorBidi"/>
          <w:sz w:val="24"/>
          <w:szCs w:val="24"/>
        </w:rPr>
      </w:pPr>
      <w:r w:rsidRPr="001277ED">
        <w:rPr>
          <w:rFonts w:asciiTheme="majorBidi" w:hAnsiTheme="majorBidi" w:cstheme="majorBidi"/>
          <w:sz w:val="24"/>
          <w:szCs w:val="24"/>
        </w:rPr>
        <w:t>Enfin, la dernière étape consiste à rassembler les groupes de gènes (orthologues et paralogues) identifiés dans les deux premières étapes pour former des groupes de gènes homologues.</w:t>
      </w:r>
    </w:p>
    <w:p w:rsidR="001277ED" w:rsidRDefault="001277ED" w:rsidP="00C35549">
      <w:pPr>
        <w:widowControl w:val="0"/>
        <w:autoSpaceDE w:val="0"/>
        <w:autoSpaceDN w:val="0"/>
        <w:adjustRightInd w:val="0"/>
        <w:spacing w:after="0" w:line="360" w:lineRule="auto"/>
        <w:jc w:val="both"/>
        <w:rPr>
          <w:rFonts w:asciiTheme="majorBidi" w:hAnsiTheme="majorBidi" w:cstheme="majorBidi"/>
          <w:sz w:val="24"/>
          <w:szCs w:val="24"/>
        </w:rPr>
      </w:pPr>
    </w:p>
    <w:p w:rsidR="00916062" w:rsidRPr="001277ED" w:rsidRDefault="00916062" w:rsidP="001277ED">
      <w:pPr>
        <w:pStyle w:val="Paragraphedeliste"/>
        <w:widowControl w:val="0"/>
        <w:numPr>
          <w:ilvl w:val="0"/>
          <w:numId w:val="3"/>
        </w:numPr>
        <w:autoSpaceDE w:val="0"/>
        <w:autoSpaceDN w:val="0"/>
        <w:adjustRightInd w:val="0"/>
        <w:spacing w:after="0" w:line="360" w:lineRule="auto"/>
        <w:jc w:val="both"/>
        <w:rPr>
          <w:rFonts w:asciiTheme="majorBidi" w:hAnsiTheme="majorBidi" w:cstheme="majorBidi"/>
          <w:b/>
          <w:bCs/>
          <w:sz w:val="24"/>
          <w:szCs w:val="24"/>
        </w:rPr>
      </w:pPr>
      <w:r w:rsidRPr="001277ED">
        <w:rPr>
          <w:rFonts w:asciiTheme="majorBidi" w:hAnsiTheme="majorBidi" w:cstheme="majorBidi"/>
          <w:b/>
          <w:bCs/>
          <w:sz w:val="24"/>
          <w:szCs w:val="24"/>
        </w:rPr>
        <w:t>Les limites de synténie:</w:t>
      </w:r>
    </w:p>
    <w:p w:rsidR="00916062" w:rsidRPr="00C35549" w:rsidRDefault="00916062" w:rsidP="00C35549">
      <w:pPr>
        <w:widowControl w:val="0"/>
        <w:autoSpaceDE w:val="0"/>
        <w:autoSpaceDN w:val="0"/>
        <w:adjustRightInd w:val="0"/>
        <w:spacing w:after="0" w:line="360" w:lineRule="auto"/>
        <w:jc w:val="both"/>
        <w:rPr>
          <w:rFonts w:asciiTheme="majorBidi" w:hAnsiTheme="majorBidi" w:cstheme="majorBidi"/>
          <w:sz w:val="24"/>
          <w:szCs w:val="24"/>
        </w:rPr>
      </w:pPr>
      <w:r w:rsidRPr="00C35549">
        <w:rPr>
          <w:rFonts w:asciiTheme="majorBidi" w:hAnsiTheme="majorBidi" w:cstheme="majorBidi"/>
          <w:sz w:val="24"/>
          <w:szCs w:val="24"/>
        </w:rPr>
        <w:t>En pra</w:t>
      </w:r>
      <w:r w:rsidR="001277ED">
        <w:rPr>
          <w:rFonts w:asciiTheme="majorBidi" w:hAnsiTheme="majorBidi" w:cstheme="majorBidi"/>
          <w:sz w:val="24"/>
          <w:szCs w:val="24"/>
        </w:rPr>
        <w:t>tique, la recherche de synténie</w:t>
      </w:r>
      <w:r w:rsidRPr="00C35549">
        <w:rPr>
          <w:rFonts w:asciiTheme="majorBidi" w:hAnsiTheme="majorBidi" w:cstheme="majorBidi"/>
          <w:sz w:val="24"/>
          <w:szCs w:val="24"/>
        </w:rPr>
        <w:t xml:space="preserve"> nécessite préalablement d’identifier les familles de gènes orthologues entre tous les génomes comparés. Les principales limitat</w:t>
      </w:r>
      <w:r w:rsidR="001277ED">
        <w:rPr>
          <w:rFonts w:asciiTheme="majorBidi" w:hAnsiTheme="majorBidi" w:cstheme="majorBidi"/>
          <w:sz w:val="24"/>
          <w:szCs w:val="24"/>
        </w:rPr>
        <w:t>ions à la recherche de synténie</w:t>
      </w:r>
      <w:r w:rsidRPr="00C35549">
        <w:rPr>
          <w:rFonts w:asciiTheme="majorBidi" w:hAnsiTheme="majorBidi" w:cstheme="majorBidi"/>
          <w:sz w:val="24"/>
          <w:szCs w:val="24"/>
        </w:rPr>
        <w:t xml:space="preserve"> sont en réalité liées à cette étape d’identification des orthologues. Les méthodes traditionnellement utilisées pour identifier les orthologues atteignent en effet leurs limites quand les séquences divergent. On peut considérer uniquement les orthologues qui limitent la synténie, car cette dernière peut être dupliquée au sein d’un même chromosome, donc la formation ce qu'on appelle les paralogues.</w:t>
      </w:r>
    </w:p>
    <w:p w:rsidR="009E6C31" w:rsidRPr="00C35549" w:rsidRDefault="009E6C31" w:rsidP="00C35549">
      <w:pPr>
        <w:widowControl w:val="0"/>
        <w:autoSpaceDE w:val="0"/>
        <w:autoSpaceDN w:val="0"/>
        <w:adjustRightInd w:val="0"/>
        <w:spacing w:line="360" w:lineRule="auto"/>
        <w:jc w:val="both"/>
        <w:rPr>
          <w:rFonts w:asciiTheme="majorBidi" w:hAnsiTheme="majorBidi" w:cstheme="majorBidi"/>
          <w:sz w:val="24"/>
          <w:szCs w:val="24"/>
        </w:rPr>
      </w:pPr>
    </w:p>
    <w:p w:rsidR="005C5004" w:rsidRPr="00C35549" w:rsidRDefault="005C5004" w:rsidP="00C35549">
      <w:pPr>
        <w:spacing w:line="360" w:lineRule="auto"/>
        <w:jc w:val="both"/>
        <w:rPr>
          <w:rFonts w:asciiTheme="majorBidi" w:hAnsiTheme="majorBidi" w:cstheme="majorBidi"/>
          <w:sz w:val="24"/>
          <w:szCs w:val="24"/>
        </w:rPr>
      </w:pPr>
    </w:p>
    <w:sectPr w:rsidR="005C5004" w:rsidRPr="00C35549" w:rsidSect="00284FA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0E4" w:rsidRDefault="003960E4" w:rsidP="00830C4D">
      <w:pPr>
        <w:spacing w:after="0" w:line="240" w:lineRule="auto"/>
      </w:pPr>
      <w:r>
        <w:separator/>
      </w:r>
    </w:p>
  </w:endnote>
  <w:endnote w:type="continuationSeparator" w:id="1">
    <w:p w:rsidR="003960E4" w:rsidRDefault="003960E4" w:rsidP="00830C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C4D" w:rsidRDefault="00830C4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498"/>
      <w:docPartObj>
        <w:docPartGallery w:val="Page Numbers (Bottom of Page)"/>
        <w:docPartUnique/>
      </w:docPartObj>
    </w:sdtPr>
    <w:sdtContent>
      <w:p w:rsidR="00830C4D" w:rsidRDefault="003126DD">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51"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51">
                <w:txbxContent>
                  <w:p w:rsidR="00E4314F" w:rsidRDefault="003126DD">
                    <w:pPr>
                      <w:jc w:val="center"/>
                    </w:pPr>
                    <w:fldSimple w:instr=" PAGE    \* MERGEFORMAT ">
                      <w:r w:rsidR="001277ED" w:rsidRPr="001277ED">
                        <w:rPr>
                          <w:noProof/>
                          <w:sz w:val="16"/>
                          <w:szCs w:val="16"/>
                        </w:rPr>
                        <w:t>5</w:t>
                      </w:r>
                    </w:fldSimple>
                  </w:p>
                </w:txbxContent>
              </v:textbox>
              <w10:wrap anchorx="page" anchory="page"/>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C4D" w:rsidRDefault="00830C4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0E4" w:rsidRDefault="003960E4" w:rsidP="00830C4D">
      <w:pPr>
        <w:spacing w:after="0" w:line="240" w:lineRule="auto"/>
      </w:pPr>
      <w:r>
        <w:separator/>
      </w:r>
    </w:p>
  </w:footnote>
  <w:footnote w:type="continuationSeparator" w:id="1">
    <w:p w:rsidR="003960E4" w:rsidRDefault="003960E4" w:rsidP="00830C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C4D" w:rsidRDefault="00830C4D">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C4D" w:rsidRDefault="00830C4D">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C4D" w:rsidRDefault="00830C4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4985B54"/>
    <w:lvl w:ilvl="0">
      <w:numFmt w:val="bullet"/>
      <w:lvlText w:val="*"/>
      <w:lvlJc w:val="left"/>
    </w:lvl>
  </w:abstractNum>
  <w:abstractNum w:abstractNumId="1">
    <w:nsid w:val="145823B6"/>
    <w:multiLevelType w:val="hybridMultilevel"/>
    <w:tmpl w:val="651EA5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5DF30EB"/>
    <w:multiLevelType w:val="hybridMultilevel"/>
    <w:tmpl w:val="C02AA45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9C6552E"/>
    <w:multiLevelType w:val="hybridMultilevel"/>
    <w:tmpl w:val="E1CE5E4A"/>
    <w:lvl w:ilvl="0" w:tplc="9CF61A14">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2C15CE3"/>
    <w:multiLevelType w:val="hybridMultilevel"/>
    <w:tmpl w:val="7438ECFC"/>
    <w:lvl w:ilvl="0" w:tplc="B35A03E2">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1F76F73"/>
    <w:multiLevelType w:val="hybridMultilevel"/>
    <w:tmpl w:val="7DAA7F2A"/>
    <w:lvl w:ilvl="0" w:tplc="500E84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lvlOverride w:ilvl="0">
      <w:lvl w:ilvl="0">
        <w:numFmt w:val="bullet"/>
        <w:lvlText w:val=""/>
        <w:legacy w:legacy="1" w:legacySpace="0" w:legacyIndent="0"/>
        <w:lvlJc w:val="left"/>
        <w:rPr>
          <w:rFonts w:ascii="Symbol" w:hAnsi="Symbol" w:hint="default"/>
        </w:rPr>
      </w:lvl>
    </w:lvlOverride>
  </w:num>
  <w:num w:numId="3">
    <w:abstractNumId w:val="5"/>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BC33F9"/>
    <w:rsid w:val="00027EB3"/>
    <w:rsid w:val="001277ED"/>
    <w:rsid w:val="001B19D2"/>
    <w:rsid w:val="00284FAB"/>
    <w:rsid w:val="002942A7"/>
    <w:rsid w:val="002A7FEE"/>
    <w:rsid w:val="003126DD"/>
    <w:rsid w:val="00356C12"/>
    <w:rsid w:val="003960E4"/>
    <w:rsid w:val="004606DE"/>
    <w:rsid w:val="00490384"/>
    <w:rsid w:val="004A3446"/>
    <w:rsid w:val="005B64E9"/>
    <w:rsid w:val="005C1BF0"/>
    <w:rsid w:val="005C5004"/>
    <w:rsid w:val="00675BDC"/>
    <w:rsid w:val="006E179E"/>
    <w:rsid w:val="006F209E"/>
    <w:rsid w:val="006F442D"/>
    <w:rsid w:val="007B5789"/>
    <w:rsid w:val="00810431"/>
    <w:rsid w:val="008226FB"/>
    <w:rsid w:val="00830C4D"/>
    <w:rsid w:val="00871270"/>
    <w:rsid w:val="008917CE"/>
    <w:rsid w:val="008B32C2"/>
    <w:rsid w:val="009016F7"/>
    <w:rsid w:val="00916062"/>
    <w:rsid w:val="0099441C"/>
    <w:rsid w:val="009E6C31"/>
    <w:rsid w:val="00A201EE"/>
    <w:rsid w:val="00A55D28"/>
    <w:rsid w:val="00A7318D"/>
    <w:rsid w:val="00A91D4C"/>
    <w:rsid w:val="00AC340C"/>
    <w:rsid w:val="00AE7396"/>
    <w:rsid w:val="00BA0919"/>
    <w:rsid w:val="00BA614C"/>
    <w:rsid w:val="00BC33F9"/>
    <w:rsid w:val="00C206F3"/>
    <w:rsid w:val="00C35549"/>
    <w:rsid w:val="00C45540"/>
    <w:rsid w:val="00C7597D"/>
    <w:rsid w:val="00CA078B"/>
    <w:rsid w:val="00CA6D77"/>
    <w:rsid w:val="00D15793"/>
    <w:rsid w:val="00D17FC8"/>
    <w:rsid w:val="00D57239"/>
    <w:rsid w:val="00E4314F"/>
    <w:rsid w:val="00E61363"/>
    <w:rsid w:val="00EF75F1"/>
    <w:rsid w:val="00F42ACC"/>
    <w:rsid w:val="00F745AA"/>
    <w:rsid w:val="00FE22D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2C2"/>
    <w:rPr>
      <w:rFonts w:eastAsiaTheme="minorEastAsia" w:cs="Arial"/>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32C2"/>
    <w:pPr>
      <w:ind w:left="720"/>
      <w:contextualSpacing/>
    </w:pPr>
  </w:style>
  <w:style w:type="paragraph" w:styleId="Textedebulles">
    <w:name w:val="Balloon Text"/>
    <w:basedOn w:val="Normal"/>
    <w:link w:val="TextedebullesCar"/>
    <w:uiPriority w:val="99"/>
    <w:semiHidden/>
    <w:unhideWhenUsed/>
    <w:rsid w:val="009E6C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6C31"/>
    <w:rPr>
      <w:rFonts w:ascii="Tahoma" w:eastAsiaTheme="minorEastAsia" w:hAnsi="Tahoma" w:cs="Tahoma"/>
      <w:sz w:val="16"/>
      <w:szCs w:val="16"/>
      <w:lang w:eastAsia="fr-FR"/>
    </w:rPr>
  </w:style>
  <w:style w:type="paragraph" w:styleId="En-tte">
    <w:name w:val="header"/>
    <w:basedOn w:val="Normal"/>
    <w:link w:val="En-tteCar"/>
    <w:uiPriority w:val="99"/>
    <w:semiHidden/>
    <w:unhideWhenUsed/>
    <w:rsid w:val="00830C4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30C4D"/>
    <w:rPr>
      <w:rFonts w:eastAsiaTheme="minorEastAsia" w:cs="Arial"/>
      <w:lang w:eastAsia="fr-FR"/>
    </w:rPr>
  </w:style>
  <w:style w:type="paragraph" w:styleId="Pieddepage">
    <w:name w:val="footer"/>
    <w:basedOn w:val="Normal"/>
    <w:link w:val="PieddepageCar"/>
    <w:uiPriority w:val="99"/>
    <w:semiHidden/>
    <w:unhideWhenUsed/>
    <w:rsid w:val="00830C4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30C4D"/>
    <w:rPr>
      <w:rFonts w:eastAsiaTheme="minorEastAsia" w:cs="Arial"/>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2C2"/>
    <w:rPr>
      <w:rFonts w:eastAsiaTheme="minorEastAsia"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32C2"/>
    <w:pPr>
      <w:ind w:left="720"/>
      <w:contextualSpacing/>
    </w:pPr>
  </w:style>
  <w:style w:type="paragraph" w:styleId="Textedebulles">
    <w:name w:val="Balloon Text"/>
    <w:basedOn w:val="Normal"/>
    <w:link w:val="TextedebullesCar"/>
    <w:uiPriority w:val="99"/>
    <w:semiHidden/>
    <w:unhideWhenUsed/>
    <w:rsid w:val="009E6C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6C31"/>
    <w:rPr>
      <w:rFonts w:ascii="Tahoma" w:eastAsiaTheme="minorEastAsi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5</Pages>
  <Words>1414</Words>
  <Characters>7780</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TSHIBA</cp:lastModifiedBy>
  <cp:revision>21</cp:revision>
  <dcterms:created xsi:type="dcterms:W3CDTF">2017-12-06T08:17:00Z</dcterms:created>
  <dcterms:modified xsi:type="dcterms:W3CDTF">2020-01-06T17:28:00Z</dcterms:modified>
</cp:coreProperties>
</file>